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4DECB">
      <w:pPr>
        <w:ind w:firstLine="640" w:firstLineChars="200"/>
        <w:rPr>
          <w:sz w:val="32"/>
          <w:szCs w:val="32"/>
        </w:rPr>
      </w:pPr>
    </w:p>
    <w:p w14:paraId="1E9B8E46">
      <w:pPr>
        <w:spacing w:line="560" w:lineRule="exact"/>
        <w:jc w:val="center"/>
        <w:rPr>
          <w:rFonts w:ascii="宋体" w:hAnsi="宋体"/>
          <w:b/>
          <w:sz w:val="44"/>
          <w:szCs w:val="44"/>
        </w:rPr>
      </w:pPr>
    </w:p>
    <w:p w14:paraId="2F6CFB8C">
      <w:pPr>
        <w:spacing w:line="560" w:lineRule="exact"/>
        <w:jc w:val="center"/>
        <w:rPr>
          <w:rFonts w:ascii="宋体" w:hAnsi="宋体"/>
          <w:b/>
          <w:sz w:val="44"/>
          <w:szCs w:val="44"/>
        </w:rPr>
      </w:pPr>
    </w:p>
    <w:p w14:paraId="338664CA">
      <w:pPr>
        <w:spacing w:line="600" w:lineRule="exact"/>
        <w:jc w:val="center"/>
        <w:rPr>
          <w:rFonts w:ascii="Cambria" w:hAnsi="Cambria" w:eastAsia="方正小标宋简体" w:cs="方正小标宋简体"/>
          <w:sz w:val="44"/>
          <w:szCs w:val="44"/>
        </w:rPr>
      </w:pPr>
      <w:r>
        <w:rPr>
          <w:rFonts w:hint="eastAsia" w:ascii="Cambria" w:hAnsi="Cambria" w:eastAsia="方正小标宋简体" w:cs="方正小标宋简体"/>
          <w:sz w:val="44"/>
          <w:szCs w:val="44"/>
        </w:rPr>
        <w:t>乌海市市场监督管理局（本级）</w:t>
      </w:r>
    </w:p>
    <w:p w14:paraId="72E065AC">
      <w:pPr>
        <w:spacing w:line="600" w:lineRule="exact"/>
        <w:jc w:val="center"/>
        <w:rPr>
          <w:rFonts w:ascii="方正小标宋简体" w:hAnsi="方正小标宋简体" w:eastAsia="方正小标宋简体" w:cs="方正小标宋简体"/>
          <w:sz w:val="44"/>
          <w:szCs w:val="44"/>
        </w:rPr>
      </w:pPr>
      <w:r>
        <w:rPr>
          <w:rFonts w:hint="eastAsia" w:ascii="Cambria" w:hAnsi="Cambria" w:eastAsia="方正小标宋简体" w:cs="方正小标宋简体"/>
          <w:sz w:val="44"/>
          <w:szCs w:val="44"/>
        </w:rPr>
        <w:t>2025</w:t>
      </w:r>
      <w:r>
        <w:rPr>
          <w:rFonts w:hint="eastAsia" w:ascii="方正小标宋简体" w:hAnsi="方正小标宋简体" w:eastAsia="方正小标宋简体" w:cs="方正小标宋简体"/>
          <w:sz w:val="44"/>
          <w:szCs w:val="44"/>
        </w:rPr>
        <w:t>年预算公开报告</w:t>
      </w:r>
    </w:p>
    <w:p w14:paraId="565FA904">
      <w:pPr>
        <w:spacing w:line="336" w:lineRule="auto"/>
        <w:jc w:val="center"/>
        <w:rPr>
          <w:rFonts w:ascii="方正小标宋简体" w:eastAsia="方正小标宋简体"/>
          <w:sz w:val="32"/>
          <w:szCs w:val="32"/>
        </w:rPr>
      </w:pPr>
    </w:p>
    <w:p w14:paraId="623EFD8B">
      <w:pPr>
        <w:spacing w:line="336" w:lineRule="auto"/>
        <w:jc w:val="center"/>
        <w:rPr>
          <w:rFonts w:ascii="方正小标宋简体" w:eastAsia="方正小标宋简体"/>
          <w:sz w:val="32"/>
          <w:szCs w:val="32"/>
        </w:rPr>
      </w:pPr>
    </w:p>
    <w:p w14:paraId="7D87A4C2">
      <w:pPr>
        <w:spacing w:line="336" w:lineRule="auto"/>
        <w:jc w:val="center"/>
        <w:rPr>
          <w:rFonts w:ascii="方正小标宋简体" w:eastAsia="方正小标宋简体"/>
          <w:sz w:val="32"/>
          <w:szCs w:val="32"/>
        </w:rPr>
      </w:pPr>
    </w:p>
    <w:p w14:paraId="7EB91245">
      <w:pPr>
        <w:spacing w:line="336" w:lineRule="auto"/>
        <w:jc w:val="center"/>
        <w:rPr>
          <w:rFonts w:ascii="方正小标宋简体" w:eastAsia="方正小标宋简体"/>
          <w:sz w:val="32"/>
          <w:szCs w:val="32"/>
        </w:rPr>
      </w:pPr>
    </w:p>
    <w:p w14:paraId="16D4A005">
      <w:pPr>
        <w:spacing w:line="336" w:lineRule="auto"/>
        <w:jc w:val="center"/>
        <w:rPr>
          <w:rFonts w:ascii="方正小标宋简体" w:eastAsia="方正小标宋简体"/>
          <w:sz w:val="32"/>
          <w:szCs w:val="32"/>
        </w:rPr>
      </w:pPr>
    </w:p>
    <w:p w14:paraId="03390255">
      <w:pPr>
        <w:spacing w:line="336" w:lineRule="auto"/>
        <w:jc w:val="center"/>
        <w:rPr>
          <w:rFonts w:ascii="方正小标宋简体" w:eastAsia="方正小标宋简体"/>
          <w:sz w:val="32"/>
          <w:szCs w:val="32"/>
        </w:rPr>
      </w:pPr>
    </w:p>
    <w:p w14:paraId="2B5CEB81">
      <w:pPr>
        <w:spacing w:line="336" w:lineRule="auto"/>
        <w:jc w:val="center"/>
        <w:rPr>
          <w:rFonts w:ascii="方正小标宋简体" w:eastAsia="方正小标宋简体"/>
          <w:sz w:val="32"/>
          <w:szCs w:val="32"/>
        </w:rPr>
      </w:pPr>
    </w:p>
    <w:p w14:paraId="6B598095">
      <w:pPr>
        <w:spacing w:line="336" w:lineRule="auto"/>
        <w:rPr>
          <w:rFonts w:ascii="方正小标宋简体" w:eastAsia="方正小标宋简体"/>
          <w:sz w:val="32"/>
          <w:szCs w:val="32"/>
        </w:rPr>
      </w:pPr>
    </w:p>
    <w:p w14:paraId="7EF1EB77">
      <w:pPr>
        <w:spacing w:line="336" w:lineRule="auto"/>
        <w:jc w:val="center"/>
        <w:rPr>
          <w:rFonts w:ascii="方正小标宋简体" w:eastAsia="方正小标宋简体"/>
          <w:sz w:val="32"/>
          <w:szCs w:val="32"/>
        </w:rPr>
      </w:pPr>
    </w:p>
    <w:p w14:paraId="70551E38">
      <w:pPr>
        <w:spacing w:line="336" w:lineRule="auto"/>
        <w:jc w:val="center"/>
        <w:rPr>
          <w:rFonts w:ascii="方正小标宋简体" w:eastAsia="方正小标宋简体"/>
          <w:sz w:val="32"/>
          <w:szCs w:val="32"/>
        </w:rPr>
      </w:pPr>
    </w:p>
    <w:p w14:paraId="52F71B06">
      <w:pPr>
        <w:spacing w:line="336" w:lineRule="auto"/>
        <w:jc w:val="center"/>
        <w:rPr>
          <w:rFonts w:ascii="方正小标宋简体" w:eastAsia="方正小标宋简体"/>
          <w:sz w:val="32"/>
          <w:szCs w:val="32"/>
        </w:rPr>
      </w:pPr>
    </w:p>
    <w:p w14:paraId="3397757D">
      <w:pPr>
        <w:spacing w:line="336" w:lineRule="auto"/>
        <w:jc w:val="center"/>
        <w:rPr>
          <w:rFonts w:ascii="方正小标宋简体" w:eastAsia="方正小标宋简体"/>
          <w:sz w:val="32"/>
          <w:szCs w:val="32"/>
        </w:rPr>
      </w:pPr>
    </w:p>
    <w:p w14:paraId="6527EEE2">
      <w:pPr>
        <w:spacing w:line="336" w:lineRule="auto"/>
        <w:jc w:val="center"/>
        <w:rPr>
          <w:rFonts w:ascii="方正小标宋简体" w:eastAsia="方正小标宋简体"/>
          <w:sz w:val="32"/>
          <w:szCs w:val="32"/>
        </w:rPr>
      </w:pPr>
    </w:p>
    <w:p w14:paraId="1423F404">
      <w:pPr>
        <w:adjustRightInd w:val="0"/>
        <w:snapToGrid w:val="0"/>
        <w:spacing w:line="360" w:lineRule="auto"/>
        <w:ind w:firstLine="640"/>
        <w:rPr>
          <w:rFonts w:ascii="仿宋" w:hAnsi="仿宋" w:eastAsia="仿宋"/>
          <w:sz w:val="32"/>
          <w:szCs w:val="32"/>
          <w:u w:val="none"/>
        </w:rPr>
      </w:pPr>
    </w:p>
    <w:p w14:paraId="114F53BF">
      <w:pPr>
        <w:adjustRightInd w:val="0"/>
        <w:snapToGrid w:val="0"/>
        <w:spacing w:line="360" w:lineRule="auto"/>
        <w:jc w:val="center"/>
        <w:rPr>
          <w:rFonts w:ascii="黑体" w:hAnsi="黑体" w:eastAsia="黑体" w:cs="黑体"/>
          <w:kern w:val="0"/>
          <w:sz w:val="32"/>
          <w:szCs w:val="32"/>
          <w:u w:val="none"/>
        </w:rPr>
      </w:pPr>
      <w:r>
        <w:rPr>
          <w:rFonts w:hint="eastAsia" w:ascii="黑体" w:hAnsi="黑体" w:eastAsia="黑体" w:cs="黑体"/>
          <w:kern w:val="0"/>
          <w:sz w:val="32"/>
          <w:szCs w:val="32"/>
          <w:u w:val="none"/>
        </w:rPr>
        <w:t>批复时间：2025年</w:t>
      </w:r>
      <w:r>
        <w:rPr>
          <w:rFonts w:hint="eastAsia" w:ascii="黑体" w:hAnsi="黑体" w:eastAsia="黑体" w:cs="黑体"/>
          <w:kern w:val="0"/>
          <w:sz w:val="32"/>
          <w:szCs w:val="32"/>
          <w:u w:val="none"/>
          <w:lang w:val="en-US" w:eastAsia="zh-CN"/>
        </w:rPr>
        <w:t>2</w:t>
      </w:r>
      <w:r>
        <w:rPr>
          <w:rFonts w:hint="eastAsia" w:ascii="黑体" w:hAnsi="黑体" w:eastAsia="黑体" w:cs="黑体"/>
          <w:kern w:val="0"/>
          <w:sz w:val="32"/>
          <w:szCs w:val="32"/>
          <w:u w:val="none"/>
        </w:rPr>
        <w:t>月</w:t>
      </w:r>
      <w:r>
        <w:rPr>
          <w:rFonts w:hint="eastAsia" w:ascii="黑体" w:hAnsi="黑体" w:eastAsia="黑体" w:cs="黑体"/>
          <w:kern w:val="0"/>
          <w:sz w:val="32"/>
          <w:szCs w:val="32"/>
          <w:u w:val="none"/>
          <w:lang w:val="en-US" w:eastAsia="zh-CN"/>
        </w:rPr>
        <w:t xml:space="preserve"> 5</w:t>
      </w:r>
      <w:r>
        <w:rPr>
          <w:rFonts w:hint="eastAsia" w:ascii="黑体" w:hAnsi="黑体" w:eastAsia="黑体" w:cs="黑体"/>
          <w:kern w:val="0"/>
          <w:sz w:val="32"/>
          <w:szCs w:val="32"/>
          <w:u w:val="none"/>
        </w:rPr>
        <w:t>日</w:t>
      </w:r>
    </w:p>
    <w:p w14:paraId="38F544CC">
      <w:pPr>
        <w:pStyle w:val="10"/>
        <w:spacing w:after="0"/>
        <w:ind w:left="0" w:leftChars="0" w:firstLine="0"/>
        <w:jc w:val="center"/>
        <w:rPr>
          <w:rFonts w:hint="default"/>
          <w:b/>
          <w:sz w:val="44"/>
          <w:szCs w:val="44"/>
          <w:u w:val="none"/>
        </w:rPr>
      </w:pPr>
      <w:r>
        <w:rPr>
          <w:rFonts w:ascii="黑体" w:hAnsi="黑体" w:eastAsia="黑体" w:cs="黑体"/>
          <w:sz w:val="32"/>
          <w:szCs w:val="32"/>
          <w:u w:val="none"/>
        </w:rPr>
        <w:t>公开时间：2025年2月</w:t>
      </w:r>
      <w:r>
        <w:rPr>
          <w:rFonts w:hint="eastAsia" w:ascii="黑体" w:hAnsi="黑体" w:eastAsia="黑体" w:cs="黑体"/>
          <w:sz w:val="32"/>
          <w:szCs w:val="32"/>
          <w:u w:val="none"/>
          <w:lang w:val="en-US" w:eastAsia="zh-CN"/>
        </w:rPr>
        <w:t>12</w:t>
      </w:r>
      <w:r>
        <w:rPr>
          <w:rFonts w:ascii="黑体" w:hAnsi="黑体" w:eastAsia="黑体" w:cs="黑体"/>
          <w:sz w:val="32"/>
          <w:szCs w:val="32"/>
          <w:u w:val="none"/>
        </w:rPr>
        <w:t>日</w:t>
      </w:r>
    </w:p>
    <w:p w14:paraId="3CC6F40C">
      <w:pPr>
        <w:pageBreakBefore/>
        <w:tabs>
          <w:tab w:val="left" w:pos="4533"/>
        </w:tabs>
        <w:adjustRightInd w:val="0"/>
        <w:snapToGrid w:val="0"/>
        <w:spacing w:line="600" w:lineRule="exact"/>
        <w:jc w:val="center"/>
        <w:rPr>
          <w:rFonts w:ascii="Times New Roman" w:hAnsi="Times New Roman" w:eastAsia="Courier New"/>
          <w:sz w:val="44"/>
          <w:szCs w:val="44"/>
        </w:rPr>
      </w:pPr>
      <w:r>
        <w:rPr>
          <w:rFonts w:hint="eastAsia" w:ascii="Times New Roman" w:hAnsi="Times New Roman" w:eastAsia="Courier New"/>
          <w:sz w:val="44"/>
          <w:szCs w:val="44"/>
        </w:rPr>
        <w:t>目录</w:t>
      </w:r>
    </w:p>
    <w:p w14:paraId="280BC976">
      <w:pPr>
        <w:widowControl/>
        <w:spacing w:line="600" w:lineRule="exact"/>
        <w:ind w:firstLine="640" w:firstLineChars="200"/>
        <w:jc w:val="left"/>
        <w:rPr>
          <w:rFonts w:ascii="仿宋_GB2312" w:hAnsi="仿宋" w:eastAsia="仿宋_GB2312" w:cs="仿宋"/>
          <w:kern w:val="0"/>
          <w:sz w:val="32"/>
          <w:szCs w:val="32"/>
          <w:lang w:bidi="ar"/>
        </w:rPr>
      </w:pPr>
    </w:p>
    <w:p w14:paraId="7CFDF61B">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第一部分 单位概况</w:t>
      </w:r>
    </w:p>
    <w:p w14:paraId="7D05F049">
      <w:pPr>
        <w:widowControl/>
        <w:spacing w:line="360" w:lineRule="auto"/>
        <w:ind w:firstLine="608" w:firstLineChars="200"/>
        <w:jc w:val="left"/>
        <w:rPr>
          <w:rFonts w:ascii="Times New Roman" w:hAnsi="Times New Roman" w:eastAsia="仿宋_GB2312" w:cs="仿宋"/>
          <w:w w:val="95"/>
          <w:sz w:val="32"/>
          <w:szCs w:val="32"/>
        </w:rPr>
      </w:pPr>
      <w:r>
        <w:rPr>
          <w:rFonts w:hint="eastAsia" w:ascii="Times New Roman" w:hAnsi="Times New Roman" w:eastAsia="仿宋_GB2312" w:cs="仿宋"/>
          <w:w w:val="95"/>
          <w:sz w:val="32"/>
          <w:szCs w:val="32"/>
        </w:rPr>
        <w:t>一、单位主要职能、职责</w:t>
      </w:r>
    </w:p>
    <w:p w14:paraId="44026177">
      <w:pPr>
        <w:widowControl/>
        <w:spacing w:line="360" w:lineRule="auto"/>
        <w:ind w:firstLine="608" w:firstLineChars="200"/>
        <w:jc w:val="left"/>
        <w:rPr>
          <w:rFonts w:ascii="Times New Roman" w:hAnsi="Times New Roman" w:eastAsia="仿宋_GB2312" w:cs="仿宋"/>
          <w:w w:val="95"/>
          <w:sz w:val="32"/>
          <w:szCs w:val="32"/>
        </w:rPr>
      </w:pPr>
      <w:r>
        <w:rPr>
          <w:rFonts w:hint="eastAsia" w:ascii="Times New Roman" w:hAnsi="Times New Roman" w:eastAsia="仿宋_GB2312" w:cs="仿宋"/>
          <w:w w:val="95"/>
          <w:sz w:val="32"/>
          <w:szCs w:val="32"/>
        </w:rPr>
        <w:t>二、机构设置及预算单位构成情况</w:t>
      </w:r>
    </w:p>
    <w:p w14:paraId="25565603">
      <w:pPr>
        <w:pStyle w:val="6"/>
        <w:spacing w:after="0" w:line="600" w:lineRule="exact"/>
        <w:ind w:firstLine="608" w:firstLineChars="200"/>
        <w:rPr>
          <w:rFonts w:ascii="Times New Roman" w:hAnsi="Times New Roman" w:eastAsia="仿宋_GB2312" w:cs="仿宋"/>
          <w:w w:val="95"/>
          <w:sz w:val="32"/>
          <w:szCs w:val="32"/>
        </w:rPr>
      </w:pPr>
      <w:r>
        <w:rPr>
          <w:rFonts w:hint="eastAsia" w:ascii="Times New Roman" w:hAnsi="Times New Roman" w:eastAsia="仿宋_GB2312" w:cs="仿宋"/>
          <w:w w:val="95"/>
          <w:sz w:val="32"/>
          <w:szCs w:val="32"/>
        </w:rPr>
        <w:t>三、2025年度单位主要工作任务及目标</w:t>
      </w:r>
    </w:p>
    <w:p w14:paraId="118A3CE6">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第二部分 2025年</w:t>
      </w:r>
      <w:r>
        <w:rPr>
          <w:rFonts w:hint="eastAsia" w:ascii="黑体" w:hAnsi="黑体" w:eastAsia="黑体" w:cs="黑体"/>
          <w:sz w:val="32"/>
          <w:szCs w:val="32"/>
          <w:lang w:val="en-US" w:eastAsia="zh-CN"/>
        </w:rPr>
        <w:t>单位</w:t>
      </w:r>
      <w:r>
        <w:rPr>
          <w:rFonts w:hint="eastAsia" w:ascii="黑体" w:hAnsi="黑体" w:eastAsia="黑体" w:cs="黑体"/>
          <w:sz w:val="32"/>
          <w:szCs w:val="32"/>
        </w:rPr>
        <w:t>预算安排情况说明</w:t>
      </w:r>
    </w:p>
    <w:p w14:paraId="283E9704">
      <w:pPr>
        <w:pStyle w:val="6"/>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单位</w:t>
      </w:r>
      <w:r>
        <w:rPr>
          <w:rFonts w:hint="eastAsia" w:ascii="仿宋" w:hAnsi="仿宋" w:eastAsia="仿宋" w:cs="仿宋"/>
          <w:sz w:val="32"/>
          <w:szCs w:val="32"/>
        </w:rPr>
        <w:t>预算收支总体情况说明</w:t>
      </w:r>
    </w:p>
    <w:p w14:paraId="659E924F">
      <w:pPr>
        <w:pStyle w:val="6"/>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单位</w:t>
      </w:r>
      <w:r>
        <w:rPr>
          <w:rFonts w:hint="eastAsia" w:ascii="仿宋" w:hAnsi="仿宋" w:eastAsia="仿宋" w:cs="仿宋"/>
          <w:sz w:val="32"/>
          <w:szCs w:val="32"/>
        </w:rPr>
        <w:t>收入预算情况说明</w:t>
      </w:r>
    </w:p>
    <w:p w14:paraId="6F78293B">
      <w:pPr>
        <w:pStyle w:val="6"/>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单位</w:t>
      </w:r>
      <w:r>
        <w:rPr>
          <w:rFonts w:hint="eastAsia" w:ascii="仿宋" w:hAnsi="仿宋" w:eastAsia="仿宋" w:cs="仿宋"/>
          <w:sz w:val="32"/>
          <w:szCs w:val="32"/>
        </w:rPr>
        <w:t>支出预算情况说明</w:t>
      </w:r>
    </w:p>
    <w:p w14:paraId="3DDFE316">
      <w:pPr>
        <w:pStyle w:val="6"/>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四、财政拨款收支预算总体情况说明</w:t>
      </w:r>
    </w:p>
    <w:p w14:paraId="46CDFEA4">
      <w:pPr>
        <w:pStyle w:val="6"/>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五、一般公共预算支出预算情况说明</w:t>
      </w:r>
    </w:p>
    <w:p w14:paraId="23A2238F">
      <w:pPr>
        <w:pStyle w:val="6"/>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六、一般公共预算基本支出预算情况说明</w:t>
      </w:r>
    </w:p>
    <w:p w14:paraId="6FF7BD8D">
      <w:pPr>
        <w:pStyle w:val="6"/>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七、一般公共预算“三公”经费支出预算情况说明</w:t>
      </w:r>
    </w:p>
    <w:p w14:paraId="308795C9">
      <w:pPr>
        <w:pStyle w:val="6"/>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八、政府性基金预算支出预算情况说明</w:t>
      </w:r>
    </w:p>
    <w:p w14:paraId="5B209FCF">
      <w:pPr>
        <w:pStyle w:val="6"/>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九、国有资本经营预算支出预算情况说明</w:t>
      </w:r>
    </w:p>
    <w:p w14:paraId="4D7F3B4C">
      <w:pPr>
        <w:pStyle w:val="6"/>
        <w:spacing w:after="0" w:line="360" w:lineRule="auto"/>
        <w:ind w:firstLine="640" w:firstLineChars="200"/>
        <w:rPr>
          <w:rFonts w:ascii="仿宋" w:hAnsi="仿宋" w:eastAsia="仿宋" w:cs="仿宋"/>
          <w:sz w:val="32"/>
          <w:szCs w:val="32"/>
        </w:rPr>
      </w:pPr>
      <w:r>
        <w:rPr>
          <w:rFonts w:hint="eastAsia" w:ascii="仿宋" w:hAnsi="仿宋" w:eastAsia="仿宋" w:cs="仿宋"/>
          <w:sz w:val="32"/>
          <w:szCs w:val="32"/>
        </w:rPr>
        <w:t>十、项目支出预算情况说明</w:t>
      </w:r>
    </w:p>
    <w:p w14:paraId="36D488F6">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第三部分 其他公开事项说明</w:t>
      </w:r>
    </w:p>
    <w:p w14:paraId="47DA8BBD">
      <w:pPr>
        <w:pStyle w:val="6"/>
        <w:spacing w:after="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一、机关运行经费安排情况说明</w:t>
      </w:r>
    </w:p>
    <w:p w14:paraId="1808FB85">
      <w:pPr>
        <w:pStyle w:val="6"/>
        <w:spacing w:after="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二、事业运行经费安排情况说明</w:t>
      </w:r>
    </w:p>
    <w:p w14:paraId="7657C683">
      <w:pPr>
        <w:pStyle w:val="6"/>
        <w:spacing w:after="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三、政府采购支出预算情况说明</w:t>
      </w:r>
    </w:p>
    <w:p w14:paraId="08A0E40B">
      <w:pPr>
        <w:pStyle w:val="6"/>
        <w:spacing w:after="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四、国有资产占有使用情况说明</w:t>
      </w:r>
    </w:p>
    <w:p w14:paraId="6D9E6785">
      <w:pPr>
        <w:pStyle w:val="6"/>
        <w:spacing w:after="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五、部门组织征收收入计划</w:t>
      </w:r>
    </w:p>
    <w:p w14:paraId="2A89D73C">
      <w:pPr>
        <w:pStyle w:val="6"/>
        <w:spacing w:after="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六、绩效目标设置情况说明</w:t>
      </w:r>
    </w:p>
    <w:p w14:paraId="792C62FE">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第四部分 名词解释</w:t>
      </w:r>
    </w:p>
    <w:p w14:paraId="2556A7E7">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第五部分 预算公开联系方式及信息反馈渠道</w:t>
      </w:r>
    </w:p>
    <w:p w14:paraId="6F944979">
      <w:pPr>
        <w:widowControl/>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 xml:space="preserve">第六部分 </w:t>
      </w:r>
      <w:r>
        <w:rPr>
          <w:rFonts w:hint="eastAsia" w:ascii="Times New Roman" w:hAnsi="Times New Roman" w:eastAsia="仿宋_GB2312" w:cs="仿宋"/>
          <w:w w:val="95"/>
          <w:sz w:val="32"/>
          <w:szCs w:val="32"/>
        </w:rPr>
        <w:t>2025</w:t>
      </w:r>
      <w:r>
        <w:rPr>
          <w:rFonts w:hint="eastAsia" w:ascii="黑体" w:hAnsi="黑体" w:eastAsia="黑体" w:cs="黑体"/>
          <w:sz w:val="32"/>
          <w:szCs w:val="32"/>
        </w:rPr>
        <w:t>年单位预算公开表</w:t>
      </w:r>
    </w:p>
    <w:p w14:paraId="3C55E5F5">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一、</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收支总体情况表</w:t>
      </w:r>
    </w:p>
    <w:p w14:paraId="6D4CCCB3">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二、</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收入总体情况表</w:t>
      </w:r>
    </w:p>
    <w:p w14:paraId="060E2A9C">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三、</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支出总体情况表</w:t>
      </w:r>
    </w:p>
    <w:p w14:paraId="1034E251">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四、财政拨款收支总体情况表</w:t>
      </w:r>
    </w:p>
    <w:p w14:paraId="2F6E24E7">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五、一般公共预算支出情况表</w:t>
      </w:r>
    </w:p>
    <w:p w14:paraId="6E3B112A">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六、一般公共预算基本支出情况表</w:t>
      </w:r>
    </w:p>
    <w:p w14:paraId="556F007C">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七、一般公共预算“三公”经费支出情况表</w:t>
      </w:r>
    </w:p>
    <w:p w14:paraId="2C3F8431">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八、政府性基金预算支出情况表</w:t>
      </w:r>
    </w:p>
    <w:p w14:paraId="210BF959">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九、国有资本经营预算支出表</w:t>
      </w:r>
    </w:p>
    <w:p w14:paraId="15D6DBF1">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十、项目支出表</w:t>
      </w:r>
    </w:p>
    <w:p w14:paraId="6EECBCB8">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十一、项目绩效目标表</w:t>
      </w:r>
    </w:p>
    <w:p w14:paraId="3A2D572E">
      <w:pPr>
        <w:widowControl/>
        <w:spacing w:line="360" w:lineRule="auto"/>
        <w:ind w:firstLine="540" w:firstLineChars="200"/>
        <w:jc w:val="left"/>
        <w:rPr>
          <w:rFonts w:ascii="仿宋_GB2312" w:hAnsi="仿宋" w:eastAsia="仿宋_GB2312" w:cs="仿宋"/>
          <w:b/>
          <w:bCs/>
          <w:kern w:val="0"/>
          <w:sz w:val="32"/>
          <w:szCs w:val="32"/>
          <w:lang w:bidi="ar"/>
        </w:rPr>
      </w:pPr>
      <w:r>
        <w:rPr>
          <w:rFonts w:hint="eastAsia" w:ascii="Times New Roman" w:hAnsi="Times New Roman" w:eastAsia="仿宋_GB2312" w:cs="仿宋"/>
          <w:spacing w:val="-17"/>
          <w:w w:val="95"/>
          <w:sz w:val="32"/>
          <w:szCs w:val="32"/>
        </w:rPr>
        <w:t>十二、政府采购预算表</w:t>
      </w:r>
    </w:p>
    <w:p w14:paraId="3D433AEC">
      <w:pPr>
        <w:widowControl/>
        <w:spacing w:line="600" w:lineRule="exact"/>
        <w:jc w:val="left"/>
        <w:rPr>
          <w:rFonts w:ascii="仿宋_GB2312" w:hAnsi="仿宋" w:eastAsia="仿宋_GB2312" w:cs="仿宋"/>
          <w:b/>
          <w:bCs/>
          <w:kern w:val="0"/>
          <w:sz w:val="32"/>
          <w:szCs w:val="32"/>
          <w:lang w:bidi="ar"/>
        </w:rPr>
      </w:pPr>
    </w:p>
    <w:p w14:paraId="52AFED0C">
      <w:pPr>
        <w:widowControl/>
        <w:spacing w:line="600" w:lineRule="exact"/>
        <w:ind w:firstLine="643" w:firstLineChars="200"/>
        <w:jc w:val="left"/>
        <w:rPr>
          <w:rFonts w:ascii="仿宋_GB2312" w:hAnsi="仿宋" w:eastAsia="仿宋_GB2312" w:cs="仿宋"/>
          <w:b/>
          <w:bCs/>
          <w:kern w:val="0"/>
          <w:sz w:val="32"/>
          <w:szCs w:val="32"/>
          <w:lang w:bidi="ar"/>
        </w:rPr>
      </w:pPr>
    </w:p>
    <w:p w14:paraId="36181B51">
      <w:pPr>
        <w:rPr>
          <w:rFonts w:hint="default"/>
        </w:rPr>
      </w:pPr>
      <w:r>
        <w:rPr>
          <w:rFonts w:hint="default"/>
        </w:rPr>
        <w:br w:type="page"/>
      </w:r>
    </w:p>
    <w:p w14:paraId="1F185491">
      <w:pPr>
        <w:spacing w:line="600" w:lineRule="exact"/>
        <w:jc w:val="center"/>
        <w:rPr>
          <w:rFonts w:ascii="仿宋_GB2312" w:eastAsia="仿宋_GB2312"/>
          <w:sz w:val="44"/>
          <w:szCs w:val="44"/>
        </w:rPr>
      </w:pPr>
      <w:r>
        <w:rPr>
          <w:rFonts w:hint="eastAsia" w:ascii="仿宋_GB2312" w:hAnsi="仿宋" w:eastAsia="仿宋_GB2312" w:cs="仿宋"/>
          <w:b/>
          <w:bCs/>
          <w:kern w:val="0"/>
          <w:sz w:val="44"/>
          <w:szCs w:val="44"/>
          <w:lang w:bidi="ar"/>
        </w:rPr>
        <w:t>乌海市市场监督管理局（本级）</w:t>
      </w:r>
    </w:p>
    <w:p w14:paraId="2F5C5F82">
      <w:pPr>
        <w:widowControl/>
        <w:spacing w:line="600" w:lineRule="exact"/>
        <w:jc w:val="center"/>
        <w:rPr>
          <w:rFonts w:ascii="仿宋_GB2312" w:eastAsia="仿宋_GB2312"/>
          <w:sz w:val="44"/>
          <w:szCs w:val="44"/>
        </w:rPr>
      </w:pPr>
      <w:r>
        <w:rPr>
          <w:rFonts w:hint="eastAsia" w:ascii="仿宋_GB2312" w:hAnsi="仿宋" w:eastAsia="仿宋_GB2312" w:cs="仿宋"/>
          <w:b/>
          <w:bCs/>
          <w:kern w:val="0"/>
          <w:sz w:val="44"/>
          <w:szCs w:val="44"/>
          <w:lang w:bidi="ar"/>
        </w:rPr>
        <w:t>2025年预算公开报告</w:t>
      </w:r>
    </w:p>
    <w:p w14:paraId="7EEBB41F">
      <w:pPr>
        <w:widowControl/>
        <w:spacing w:line="600" w:lineRule="exact"/>
        <w:jc w:val="left"/>
        <w:rPr>
          <w:rFonts w:ascii="仿宋_GB2312" w:eastAsia="仿宋_GB2312"/>
          <w:sz w:val="32"/>
          <w:szCs w:val="32"/>
        </w:rPr>
      </w:pPr>
    </w:p>
    <w:p w14:paraId="461236BA">
      <w:pPr>
        <w:widowControl/>
        <w:spacing w:line="600" w:lineRule="exact"/>
        <w:jc w:val="center"/>
        <w:rPr>
          <w:rFonts w:ascii="仿宋_GB2312" w:eastAsia="仿宋_GB2312"/>
          <w:sz w:val="32"/>
          <w:szCs w:val="32"/>
        </w:rPr>
      </w:pPr>
      <w:r>
        <w:rPr>
          <w:rFonts w:hint="eastAsia" w:ascii="仿宋_GB2312" w:hAnsi="仿宋" w:eastAsia="仿宋_GB2312" w:cs="仿宋"/>
          <w:b/>
          <w:bCs/>
          <w:kern w:val="0"/>
          <w:sz w:val="36"/>
          <w:szCs w:val="32"/>
          <w:lang w:bidi="ar"/>
        </w:rPr>
        <w:t>第一部分 单位概况</w:t>
      </w:r>
    </w:p>
    <w:p w14:paraId="4B27FDBD">
      <w:pPr>
        <w:widowControl/>
        <w:spacing w:line="600" w:lineRule="exact"/>
        <w:ind w:firstLine="643" w:firstLineChars="200"/>
        <w:jc w:val="left"/>
        <w:rPr>
          <w:rFonts w:ascii="仿宋_GB2312" w:hAnsi="仿宋" w:eastAsia="仿宋_GB2312" w:cs="仿宋"/>
          <w:b/>
          <w:bCs/>
          <w:kern w:val="0"/>
          <w:sz w:val="32"/>
          <w:szCs w:val="32"/>
          <w:lang w:bidi="ar"/>
        </w:rPr>
      </w:pPr>
    </w:p>
    <w:p w14:paraId="166C770D">
      <w:pPr>
        <w:widowControl/>
        <w:spacing w:line="60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bidi="ar"/>
        </w:rPr>
        <w:t>一、单位主要职能、职责</w:t>
      </w:r>
    </w:p>
    <w:p w14:paraId="1770FC19">
      <w:pPr>
        <w:spacing w:line="600" w:lineRule="exact"/>
        <w:ind w:firstLine="640" w:firstLineChars="200"/>
        <w:contextualSpacing/>
        <w:rPr>
          <w:rFonts w:ascii="楷体_GB2312" w:eastAsia="楷体_GB2312"/>
          <w:sz w:val="32"/>
          <w:szCs w:val="32"/>
        </w:rPr>
      </w:pPr>
      <w:r>
        <w:rPr>
          <w:rFonts w:hint="eastAsia" w:ascii="楷体_GB2312" w:eastAsia="楷体_GB2312"/>
          <w:sz w:val="32"/>
          <w:szCs w:val="32"/>
        </w:rPr>
        <w:t>（一）单位职能</w:t>
      </w:r>
    </w:p>
    <w:p w14:paraId="29E2A3BB">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乌海市市场监督管理局2019年初由乌海市工商管理质量技术监督局和乌海市食品药品监督管理局合并，是乌海市人民政府的工作单位，同时加挂乌海市知识产权局牌子。</w:t>
      </w:r>
    </w:p>
    <w:p w14:paraId="20D50BF4">
      <w:pPr>
        <w:spacing w:line="600" w:lineRule="exact"/>
        <w:ind w:firstLine="640" w:firstLineChars="200"/>
        <w:contextualSpacing/>
        <w:rPr>
          <w:rFonts w:ascii="楷体_GB2312" w:eastAsia="楷体_GB2312"/>
          <w:sz w:val="32"/>
          <w:szCs w:val="32"/>
        </w:rPr>
      </w:pPr>
      <w:r>
        <w:rPr>
          <w:rFonts w:hint="eastAsia" w:ascii="楷体_GB2312" w:eastAsia="楷体_GB2312"/>
          <w:sz w:val="32"/>
          <w:szCs w:val="32"/>
        </w:rPr>
        <w:t>（二）单位职责</w:t>
      </w:r>
    </w:p>
    <w:p w14:paraId="07AB6070">
      <w:pPr>
        <w:numPr>
          <w:ilvl w:val="0"/>
          <w:numId w:val="0"/>
        </w:num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负责市场综合监督管理;</w:t>
      </w:r>
    </w:p>
    <w:p w14:paraId="0B9DFAE0">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负责市场主体统一登记注册;</w:t>
      </w:r>
    </w:p>
    <w:p w14:paraId="147AE23D">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负责监督指导、统筹协调全市市场监督综合执法工作，组织查处重大违法案件;</w:t>
      </w:r>
    </w:p>
    <w:p w14:paraId="60567745">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统筹推进竞争政策实施，指导实施公平竞争审查制度，开展相关反垄断调查等工作;</w:t>
      </w:r>
    </w:p>
    <w:p w14:paraId="28BD148A">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负责监督管理市场秩序;</w:t>
      </w:r>
    </w:p>
    <w:p w14:paraId="48D593B5">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规范和维护市场秩序，依法监督管理市场交易，查处价格收费违法违规、不正当竞争，指导消费者协会开展维权工作;</w:t>
      </w:r>
    </w:p>
    <w:p w14:paraId="536C3FE9">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负责宏观质量管理,拟定并实施乌海市质量发展的制度措施，推进品牌发展战略;</w:t>
      </w:r>
    </w:p>
    <w:p w14:paraId="5FC86F14">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负责产品质量安全监督管理;</w:t>
      </w:r>
    </w:p>
    <w:p w14:paraId="19DB041A">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负责产品质量监督抽查和安全风险监控工作;</w:t>
      </w:r>
    </w:p>
    <w:p w14:paraId="18CF4936">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负责特种设备安全监督管理和综合协调;</w:t>
      </w:r>
    </w:p>
    <w:p w14:paraId="757C0657">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负责食品安全监督管理;</w:t>
      </w:r>
    </w:p>
    <w:p w14:paraId="04B16402">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负责药品、医疗器械和化妆品安全监督管理;</w:t>
      </w:r>
    </w:p>
    <w:p w14:paraId="438D5228">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负责统一管理和指导全市标准化工作;</w:t>
      </w:r>
    </w:p>
    <w:p w14:paraId="75F8E562">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负责统一管理计量工作;</w:t>
      </w:r>
    </w:p>
    <w:p w14:paraId="13C92612">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负责统一管理检验检测工作;</w:t>
      </w:r>
    </w:p>
    <w:p w14:paraId="4F07D33D">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负责统一管理、监督和综合协调全市认证认可工作；</w:t>
      </w:r>
    </w:p>
    <w:p w14:paraId="69382755">
      <w:pPr>
        <w:numPr>
          <w:ilvl w:val="0"/>
          <w:numId w:val="0"/>
        </w:num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负责全市知识产权创造、运用、保护、管理和服务工作；</w:t>
      </w:r>
    </w:p>
    <w:p w14:paraId="12240C11">
      <w:pPr>
        <w:numPr>
          <w:ilvl w:val="0"/>
          <w:numId w:val="0"/>
        </w:numPr>
        <w:spacing w:line="600" w:lineRule="exact"/>
        <w:ind w:left="638" w:leftChars="304" w:firstLine="0" w:firstLineChars="0"/>
        <w:contextualSpacing/>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负责市场监督管理科技和信息化建设、新闻宣传等工作；</w:t>
      </w:r>
      <w:r>
        <w:rPr>
          <w:rFonts w:hint="eastAsia" w:ascii="仿宋_GB2312" w:eastAsia="仿宋_GB2312"/>
          <w:sz w:val="32"/>
          <w:szCs w:val="32"/>
          <w:lang w:val="en-US" w:eastAsia="zh-CN"/>
        </w:rPr>
        <w:t>19.</w:t>
      </w:r>
      <w:r>
        <w:rPr>
          <w:rFonts w:hint="eastAsia" w:ascii="仿宋_GB2312" w:eastAsia="仿宋_GB2312"/>
          <w:sz w:val="32"/>
          <w:szCs w:val="32"/>
        </w:rPr>
        <w:t>指导各区市场监督管理单位业务工作。</w:t>
      </w:r>
    </w:p>
    <w:p w14:paraId="47640F5F">
      <w:pPr>
        <w:widowControl/>
        <w:spacing w:line="60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bidi="ar"/>
        </w:rPr>
        <w:t>二、机构设置及部门预算单位构成情况</w:t>
      </w:r>
    </w:p>
    <w:p w14:paraId="7978408B">
      <w:pPr>
        <w:widowControl/>
        <w:spacing w:line="600" w:lineRule="exact"/>
        <w:ind w:firstLine="640" w:firstLineChars="200"/>
        <w:jc w:val="left"/>
        <w:rPr>
          <w:rFonts w:ascii="仿宋_GB2312" w:eastAsia="仿宋_GB2312"/>
          <w:sz w:val="32"/>
          <w:szCs w:val="32"/>
        </w:rPr>
      </w:pPr>
      <w:r>
        <w:rPr>
          <w:rFonts w:hint="eastAsia" w:ascii="仿宋_GB2312" w:hAnsi="仿宋" w:eastAsia="仿宋_GB2312" w:cs="仿宋"/>
          <w:kern w:val="0"/>
          <w:sz w:val="32"/>
          <w:szCs w:val="32"/>
          <w:lang w:bidi="ar"/>
        </w:rPr>
        <w:t>从预算单位构成看，2025年乌海市市场监督管理局（本级）部门预算包括：</w:t>
      </w:r>
      <w:r>
        <w:rPr>
          <w:rFonts w:hint="eastAsia" w:ascii="仿宋_GB2312" w:hAnsi="仿宋" w:eastAsia="仿宋_GB2312" w:cs="仿宋"/>
          <w:kern w:val="0"/>
          <w:sz w:val="32"/>
          <w:szCs w:val="32"/>
          <w:lang w:val="en-US" w:eastAsia="zh-CN" w:bidi="ar"/>
        </w:rPr>
        <w:t>单位</w:t>
      </w:r>
      <w:r>
        <w:rPr>
          <w:rFonts w:hint="eastAsia" w:ascii="仿宋_GB2312" w:hAnsi="仿宋" w:eastAsia="仿宋_GB2312" w:cs="仿宋"/>
          <w:kern w:val="0"/>
          <w:sz w:val="32"/>
          <w:szCs w:val="32"/>
          <w:lang w:bidi="ar"/>
        </w:rPr>
        <w:t>本级预算。</w:t>
      </w:r>
    </w:p>
    <w:p w14:paraId="5BD085D2">
      <w:pPr>
        <w:widowControl/>
        <w:spacing w:line="600" w:lineRule="exact"/>
        <w:ind w:firstLine="640" w:firstLineChars="200"/>
        <w:jc w:val="left"/>
        <w:rPr>
          <w:rFonts w:ascii="楷体_GB2312" w:eastAsia="楷体_GB2312"/>
          <w:sz w:val="32"/>
          <w:szCs w:val="32"/>
        </w:rPr>
      </w:pPr>
      <w:r>
        <w:rPr>
          <w:rFonts w:hint="eastAsia" w:ascii="楷体_GB2312" w:hAnsi="仿宋" w:eastAsia="楷体_GB2312" w:cs="仿宋"/>
          <w:bCs/>
          <w:kern w:val="0"/>
          <w:sz w:val="32"/>
          <w:szCs w:val="32"/>
          <w:lang w:bidi="ar"/>
        </w:rPr>
        <w:t>（一）</w:t>
      </w:r>
      <w:r>
        <w:rPr>
          <w:rFonts w:hint="eastAsia" w:eastAsia="楷体_GB2312" w:cs="Calibri"/>
          <w:bCs/>
          <w:kern w:val="0"/>
          <w:sz w:val="32"/>
          <w:szCs w:val="32"/>
          <w:lang w:bidi="ar"/>
        </w:rPr>
        <w:t>乌海市市场监督管理局（本级）</w:t>
      </w:r>
      <w:r>
        <w:rPr>
          <w:rFonts w:hint="eastAsia" w:ascii="楷体_GB2312" w:hAnsi="仿宋" w:eastAsia="楷体_GB2312" w:cs="仿宋"/>
          <w:bCs/>
          <w:kern w:val="0"/>
          <w:sz w:val="32"/>
          <w:szCs w:val="32"/>
          <w:lang w:bidi="ar"/>
        </w:rPr>
        <w:t>部门机构</w:t>
      </w:r>
    </w:p>
    <w:p w14:paraId="48984678">
      <w:pPr>
        <w:widowControl/>
        <w:spacing w:line="600" w:lineRule="exact"/>
        <w:ind w:firstLine="640" w:firstLineChars="200"/>
        <w:jc w:val="left"/>
        <w:rPr>
          <w:rFonts w:ascii="仿宋_GB2312" w:eastAsia="仿宋_GB2312"/>
          <w:sz w:val="32"/>
          <w:szCs w:val="32"/>
        </w:rPr>
      </w:pPr>
      <w:r>
        <w:rPr>
          <w:rFonts w:hint="eastAsia" w:ascii="仿宋_GB2312" w:hAnsi="仿宋" w:eastAsia="仿宋_GB2312" w:cs="仿宋"/>
          <w:kern w:val="0"/>
          <w:sz w:val="32"/>
          <w:szCs w:val="32"/>
          <w:lang w:bidi="ar"/>
        </w:rPr>
        <w:t>2025年，乌海市市场监督管理局（本级）共有机构数1家，其中财政拨款的行政单位1家、参照公务员法管理的事业单位0家、公益一类事业单位0家、公益二类事业单位0家。与去年相比，机构数量减少0家，原因为我单位本年无机构改革变化。</w:t>
      </w:r>
    </w:p>
    <w:p w14:paraId="0964BA17">
      <w:pPr>
        <w:widowControl/>
        <w:spacing w:line="600" w:lineRule="exact"/>
        <w:ind w:firstLine="640" w:firstLineChars="200"/>
        <w:jc w:val="left"/>
        <w:rPr>
          <w:rFonts w:ascii="楷体_GB2312" w:eastAsia="楷体_GB2312"/>
          <w:sz w:val="32"/>
          <w:szCs w:val="32"/>
        </w:rPr>
      </w:pPr>
      <w:r>
        <w:rPr>
          <w:rFonts w:hint="eastAsia" w:ascii="楷体_GB2312" w:hAnsi="仿宋" w:eastAsia="楷体_GB2312" w:cs="仿宋"/>
          <w:bCs/>
          <w:kern w:val="0"/>
          <w:sz w:val="32"/>
          <w:szCs w:val="32"/>
          <w:lang w:bidi="ar"/>
        </w:rPr>
        <w:t>（二）</w:t>
      </w:r>
      <w:r>
        <w:rPr>
          <w:rFonts w:hint="eastAsia" w:eastAsia="楷体_GB2312" w:cs="Calibri"/>
          <w:bCs/>
          <w:kern w:val="0"/>
          <w:sz w:val="32"/>
          <w:szCs w:val="32"/>
          <w:lang w:bidi="ar"/>
        </w:rPr>
        <w:t>乌海市市场监督管理局（本级）</w:t>
      </w:r>
      <w:r>
        <w:rPr>
          <w:rFonts w:hint="eastAsia" w:ascii="楷体_GB2312" w:hAnsi="仿宋" w:eastAsia="楷体_GB2312" w:cs="仿宋"/>
          <w:bCs/>
          <w:kern w:val="0"/>
          <w:sz w:val="32"/>
          <w:szCs w:val="32"/>
          <w:lang w:bidi="ar"/>
        </w:rPr>
        <w:t>单位设置</w:t>
      </w:r>
    </w:p>
    <w:p w14:paraId="1CEFF797">
      <w:pPr>
        <w:spacing w:line="600" w:lineRule="exact"/>
        <w:ind w:firstLine="640" w:firstLineChars="200"/>
        <w:contextualSpacing/>
        <w:rPr>
          <w:rFonts w:ascii="仿宋_GB2312" w:hAnsi="楷体_GB2312" w:eastAsia="仿宋_GB2312" w:cs="楷体_GB2312"/>
          <w:sz w:val="32"/>
          <w:szCs w:val="32"/>
        </w:rPr>
      </w:pPr>
      <w:r>
        <w:rPr>
          <w:rFonts w:hint="eastAsia" w:ascii="仿宋_GB2312" w:hAnsi="楷体_GB2312" w:eastAsia="仿宋_GB2312" w:cs="楷体_GB2312"/>
          <w:sz w:val="32"/>
          <w:szCs w:val="32"/>
        </w:rPr>
        <w:t>纳入本单位2025年部门预算编制范围的单位情况如下：</w:t>
      </w:r>
    </w:p>
    <w:p w14:paraId="77BDF951">
      <w:pPr>
        <w:spacing w:line="600" w:lineRule="exact"/>
        <w:ind w:firstLine="643" w:firstLineChars="200"/>
        <w:contextualSpacing/>
        <w:rPr>
          <w:rFonts w:ascii="仿宋_GB2312" w:hAnsi="楷体_GB2312" w:eastAsia="仿宋_GB2312" w:cs="楷体_GB2312"/>
          <w:b/>
          <w:sz w:val="32"/>
          <w:szCs w:val="32"/>
        </w:rPr>
      </w:pPr>
    </w:p>
    <w:p w14:paraId="5FF9054E">
      <w:pPr>
        <w:pStyle w:val="5"/>
        <w:spacing w:before="0" w:after="0" w:line="600" w:lineRule="exact"/>
        <w:contextualSpacing/>
        <w:jc w:val="center"/>
        <w:rPr>
          <w:rFonts w:ascii="仿宋" w:eastAsia="仿宋"/>
        </w:rPr>
      </w:pPr>
      <w:r>
        <w:rPr>
          <w:rFonts w:hint="eastAsia" w:ascii="仿宋" w:eastAsia="仿宋"/>
        </w:rPr>
        <w:t>预算单位情况表</w:t>
      </w:r>
    </w:p>
    <w:p w14:paraId="0E799EDF">
      <w:pPr>
        <w:rPr>
          <w:lang w:val="zh-CN" w:bidi="zh-CN"/>
        </w:rPr>
      </w:pPr>
    </w:p>
    <w:tbl>
      <w:tblPr>
        <w:tblStyle w:val="11"/>
        <w:tblW w:w="8723" w:type="dxa"/>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740"/>
      </w:tblGrid>
      <w:tr w14:paraId="62D8C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203" w:type="dxa"/>
          </w:tcPr>
          <w:p w14:paraId="060656DF">
            <w:pPr>
              <w:pStyle w:val="19"/>
              <w:spacing w:before="0" w:after="0" w:line="600" w:lineRule="exact"/>
              <w:contextualSpacing/>
              <w:jc w:val="center"/>
              <w:rPr>
                <w:b/>
                <w:sz w:val="32"/>
              </w:rPr>
            </w:pPr>
            <w:r>
              <w:rPr>
                <w:b/>
                <w:w w:val="99"/>
                <w:sz w:val="32"/>
              </w:rPr>
              <w:t>序号</w:t>
            </w:r>
          </w:p>
        </w:tc>
        <w:tc>
          <w:tcPr>
            <w:tcW w:w="3780" w:type="dxa"/>
          </w:tcPr>
          <w:p w14:paraId="306FBA78">
            <w:pPr>
              <w:pStyle w:val="19"/>
              <w:spacing w:before="0" w:after="0" w:line="600" w:lineRule="exact"/>
              <w:ind w:firstLine="643" w:firstLineChars="200"/>
              <w:contextualSpacing/>
              <w:rPr>
                <w:b/>
                <w:sz w:val="32"/>
              </w:rPr>
            </w:pPr>
            <w:r>
              <w:rPr>
                <w:b/>
                <w:sz w:val="32"/>
              </w:rPr>
              <w:t>单位名称</w:t>
            </w:r>
          </w:p>
        </w:tc>
        <w:tc>
          <w:tcPr>
            <w:tcW w:w="3740" w:type="dxa"/>
          </w:tcPr>
          <w:p w14:paraId="23E785E0">
            <w:pPr>
              <w:pStyle w:val="19"/>
              <w:spacing w:before="0" w:after="0" w:line="600" w:lineRule="exact"/>
              <w:contextualSpacing/>
              <w:jc w:val="center"/>
              <w:rPr>
                <w:b/>
                <w:sz w:val="32"/>
              </w:rPr>
            </w:pPr>
            <w:r>
              <w:rPr>
                <w:b/>
                <w:sz w:val="32"/>
              </w:rPr>
              <w:t>单位性质</w:t>
            </w:r>
          </w:p>
        </w:tc>
      </w:tr>
      <w:tr w14:paraId="731E1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tcPr>
          <w:p w14:paraId="2E49CF38">
            <w:pPr>
              <w:pStyle w:val="19"/>
              <w:spacing w:before="0" w:after="0" w:line="600" w:lineRule="exact"/>
              <w:contextualSpacing/>
              <w:jc w:val="center"/>
              <w:rPr>
                <w:rFonts w:ascii="Times New Roman"/>
                <w:sz w:val="21"/>
                <w:szCs w:val="21"/>
              </w:rPr>
            </w:pPr>
            <w:r>
              <w:rPr>
                <w:rFonts w:hint="eastAsia" w:ascii="Times New Roman"/>
                <w:sz w:val="21"/>
                <w:szCs w:val="21"/>
              </w:rPr>
              <w:t>1</w:t>
            </w:r>
          </w:p>
        </w:tc>
        <w:tc>
          <w:tcPr>
            <w:tcW w:w="3780" w:type="dxa"/>
          </w:tcPr>
          <w:p w14:paraId="3AA0564C">
            <w:pPr>
              <w:pStyle w:val="19"/>
              <w:spacing w:before="0" w:after="0" w:line="600" w:lineRule="exact"/>
              <w:contextualSpacing/>
              <w:rPr>
                <w:rFonts w:hint="eastAsia" w:eastAsia="仿宋"/>
                <w:sz w:val="21"/>
                <w:szCs w:val="21"/>
                <w:lang w:val="en-US" w:eastAsia="zh-CN"/>
              </w:rPr>
            </w:pPr>
            <w:r>
              <w:rPr>
                <w:rFonts w:hint="eastAsia"/>
                <w:sz w:val="21"/>
                <w:szCs w:val="21"/>
                <w:lang w:val="en-US"/>
              </w:rPr>
              <w:t>乌海市市场监督管理局</w:t>
            </w:r>
            <w:r>
              <w:rPr>
                <w:rFonts w:hint="eastAsia"/>
                <w:sz w:val="21"/>
                <w:szCs w:val="21"/>
                <w:lang w:val="en-US" w:eastAsia="zh-CN"/>
              </w:rPr>
              <w:t>本级</w:t>
            </w:r>
          </w:p>
        </w:tc>
        <w:tc>
          <w:tcPr>
            <w:tcW w:w="3740" w:type="dxa"/>
          </w:tcPr>
          <w:p w14:paraId="65617BED">
            <w:pPr>
              <w:pStyle w:val="19"/>
              <w:spacing w:before="0" w:after="0" w:line="600" w:lineRule="exact"/>
              <w:ind w:firstLine="420" w:firstLineChars="200"/>
              <w:contextualSpacing/>
              <w:rPr>
                <w:sz w:val="21"/>
                <w:szCs w:val="21"/>
                <w:lang w:val="en-US"/>
              </w:rPr>
            </w:pPr>
            <w:r>
              <w:rPr>
                <w:rFonts w:hint="eastAsia"/>
                <w:sz w:val="21"/>
                <w:szCs w:val="21"/>
                <w:lang w:val="en-US"/>
              </w:rPr>
              <w:t>财政拨款的行政单位</w:t>
            </w:r>
          </w:p>
        </w:tc>
      </w:tr>
    </w:tbl>
    <w:p w14:paraId="4533524A">
      <w:pPr>
        <w:contextualSpacing/>
        <w:rPr>
          <w:rFonts w:ascii="楷体_GB2312" w:hAnsi="楷体_GB2312" w:eastAsia="楷体_GB2312" w:cs="楷体_GB2312"/>
          <w:sz w:val="32"/>
          <w:szCs w:val="32"/>
        </w:rPr>
      </w:pPr>
    </w:p>
    <w:p w14:paraId="08FB9D91">
      <w:pPr>
        <w:widowControl/>
        <w:numPr>
          <w:ilvl w:val="0"/>
          <w:numId w:val="0"/>
        </w:numPr>
        <w:spacing w:line="560" w:lineRule="exact"/>
        <w:ind w:firstLine="640" w:firstLineChars="200"/>
        <w:jc w:val="left"/>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（三）</w:t>
      </w:r>
      <w:r>
        <w:rPr>
          <w:rFonts w:hint="eastAsia" w:ascii="楷体_GB2312" w:hAnsi="仿宋" w:eastAsia="楷体_GB2312" w:cs="仿宋"/>
          <w:bCs/>
          <w:kern w:val="0"/>
          <w:sz w:val="32"/>
          <w:szCs w:val="32"/>
          <w:lang w:bidi="ar"/>
        </w:rPr>
        <w:t>乌海市市场监督管理局</w:t>
      </w:r>
      <w:r>
        <w:rPr>
          <w:rFonts w:hint="eastAsia" w:ascii="楷体_GB2312" w:hAnsi="仿宋" w:eastAsia="楷体_GB2312" w:cs="仿宋"/>
          <w:bCs/>
          <w:kern w:val="0"/>
          <w:sz w:val="32"/>
          <w:szCs w:val="32"/>
          <w:lang w:val="en-US" w:eastAsia="zh-CN" w:bidi="ar"/>
        </w:rPr>
        <w:t>本级</w:t>
      </w:r>
      <w:r>
        <w:rPr>
          <w:rFonts w:hint="eastAsia" w:ascii="楷体_GB2312" w:hAnsi="仿宋" w:eastAsia="楷体_GB2312" w:cs="仿宋"/>
          <w:bCs/>
          <w:kern w:val="0"/>
          <w:sz w:val="32"/>
          <w:szCs w:val="32"/>
          <w:lang w:bidi="ar"/>
        </w:rPr>
        <w:t>所属单位机构及人员基本情况</w:t>
      </w:r>
    </w:p>
    <w:p w14:paraId="11EE9561">
      <w:pPr>
        <w:widowControl/>
        <w:numPr>
          <w:ilvl w:val="0"/>
          <w:numId w:val="0"/>
        </w:numPr>
        <w:spacing w:line="560" w:lineRule="exact"/>
        <w:ind w:firstLine="640" w:firstLineChars="200"/>
        <w:jc w:val="left"/>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1.乌海市市场监督管理局本级。公务员编制67个，工勤编制6个；实有公务员63人，比上年持平。工勤人员6人，比上年增加减少4人，减少原因为本年工勤人员退休4人。离退休职工118人，比上年增加9人，增加原因为本年新增退休人员9人。</w:t>
      </w:r>
    </w:p>
    <w:p w14:paraId="39EBC7D0">
      <w:pPr>
        <w:widowControl/>
        <w:spacing w:line="560" w:lineRule="exact"/>
        <w:ind w:firstLine="640" w:firstLineChars="200"/>
        <w:jc w:val="left"/>
        <w:rPr>
          <w:rFonts w:ascii="黑体" w:hAnsi="黑体" w:eastAsia="黑体" w:cs="仿宋"/>
          <w:bCs/>
          <w:kern w:val="0"/>
          <w:sz w:val="32"/>
          <w:szCs w:val="32"/>
          <w:lang w:bidi="ar"/>
        </w:rPr>
      </w:pPr>
      <w:r>
        <w:rPr>
          <w:rFonts w:hint="eastAsia" w:ascii="黑体" w:hAnsi="黑体" w:eastAsia="黑体" w:cs="仿宋"/>
          <w:bCs/>
          <w:kern w:val="0"/>
          <w:sz w:val="32"/>
          <w:szCs w:val="32"/>
          <w:lang w:bidi="ar"/>
        </w:rPr>
        <w:t>三、2025年度单位主要工作任务及目标</w:t>
      </w:r>
    </w:p>
    <w:p w14:paraId="5A211B4B">
      <w:pPr>
        <w:ind w:firstLine="640" w:firstLineChars="200"/>
        <w:rPr>
          <w:rFonts w:hint="default"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是聚焦助企帮扶。深入实施小微企业个体工商户三年成长计划，</w:t>
      </w:r>
      <w:r>
        <w:rPr>
          <w:rFonts w:hint="default" w:ascii="Times New Roman" w:hAnsi="Times New Roman" w:eastAsia="仿宋_GB2312" w:cs="Times New Roman"/>
          <w:sz w:val="32"/>
          <w:szCs w:val="32"/>
        </w:rPr>
        <w:t>推进“</w:t>
      </w:r>
      <w:r>
        <w:rPr>
          <w:rFonts w:hint="default" w:ascii="Times New Roman" w:hAnsi="Times New Roman" w:eastAsia="仿宋_GB2312" w:cs="Times New Roman"/>
          <w:sz w:val="32"/>
          <w:szCs w:val="32"/>
          <w:lang w:eastAsia="zh-CN"/>
        </w:rPr>
        <w:t>蒙信贷</w:t>
      </w:r>
      <w:r>
        <w:rPr>
          <w:rFonts w:hint="default" w:ascii="Times New Roman" w:hAnsi="Times New Roman" w:eastAsia="仿宋_GB2312" w:cs="Times New Roman"/>
          <w:sz w:val="32"/>
          <w:szCs w:val="32"/>
        </w:rPr>
        <w:t>”“质押融资”等金融信贷服务，共同助力企业高质量发展。</w:t>
      </w:r>
      <w:r>
        <w:rPr>
          <w:rFonts w:hint="default" w:ascii="Times New Roman" w:hAnsi="Times New Roman" w:eastAsia="仿宋_GB2312" w:cs="Times New Roman"/>
          <w:sz w:val="32"/>
          <w:szCs w:val="32"/>
          <w:lang w:eastAsia="zh-CN"/>
        </w:rPr>
        <w:t>下大力气整治涉企行政检查，持续给企业松绑减负。借鉴北京市</w:t>
      </w:r>
      <w:r>
        <w:rPr>
          <w:rFonts w:hint="default" w:ascii="Times New Roman" w:hAnsi="Times New Roman" w:eastAsia="仿宋_GB2312" w:cs="Times New Roman"/>
          <w:sz w:val="32"/>
          <w:szCs w:val="32"/>
          <w:lang w:val="en-US" w:eastAsia="zh-CN"/>
        </w:rPr>
        <w:t>综合监管“无事不扰”白名单工作经验，积极探索建立“四新”领域监管白名单制度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做到无事不扰</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深化公平竞争治理，破除市场分割和地方保护，营造稳定公平透明的市场竞争环境。</w:t>
      </w:r>
    </w:p>
    <w:p w14:paraId="26DC2129">
      <w:pPr>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eastAsia="zh-CN"/>
        </w:rPr>
        <w:t>是聚焦改革攻坚。</w:t>
      </w:r>
      <w:r>
        <w:rPr>
          <w:rFonts w:hint="default" w:ascii="Times New Roman" w:hAnsi="Times New Roman" w:eastAsia="仿宋_GB2312" w:cs="Times New Roman"/>
          <w:sz w:val="32"/>
          <w:szCs w:val="32"/>
          <w:lang w:val="en-US" w:eastAsia="zh-CN"/>
        </w:rPr>
        <w:t>大力推行“体检式监管、服务型执法”模式，</w:t>
      </w:r>
      <w:r>
        <w:rPr>
          <w:rFonts w:hint="default" w:ascii="Times New Roman" w:hAnsi="Times New Roman" w:eastAsia="仿宋_GB2312" w:cs="Times New Roman"/>
          <w:sz w:val="32"/>
          <w:szCs w:val="32"/>
          <w:lang w:eastAsia="zh-CN"/>
        </w:rPr>
        <w:t>努力实现被动执法向主动监管转变，由治标向治本转变，由事后治理向事先防范转变，</w:t>
      </w:r>
      <w:r>
        <w:rPr>
          <w:rFonts w:hint="default" w:ascii="Times New Roman" w:hAnsi="Times New Roman" w:eastAsia="仿宋_GB2312" w:cs="Times New Roman"/>
          <w:sz w:val="32"/>
          <w:szCs w:val="32"/>
          <w:lang w:val="en-US" w:eastAsia="zh-CN"/>
        </w:rPr>
        <w:t>综合运用合规指南、行政指导、行业公约、公开承诺、约谈、警告、检查执法等监管手段，严格落实“不予处罚”、“不予强制措施”等清单制度，</w:t>
      </w:r>
      <w:r>
        <w:rPr>
          <w:rFonts w:hint="default" w:ascii="Times New Roman" w:hAnsi="Times New Roman" w:eastAsia="仿宋_GB2312" w:cs="Times New Roman"/>
          <w:sz w:val="32"/>
          <w:szCs w:val="32"/>
          <w:lang w:eastAsia="zh-CN"/>
        </w:rPr>
        <w:t>构建长效执法监管机制。</w:t>
      </w:r>
    </w:p>
    <w:p w14:paraId="2AAE67A3">
      <w:p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是聚焦质量引领。用市场化思路为企业提供“一站式”服务方案，主动为产业升级赋能。</w:t>
      </w:r>
      <w:r>
        <w:rPr>
          <w:rFonts w:hint="default" w:ascii="Times New Roman" w:hAnsi="Times New Roman" w:eastAsia="仿宋_GB2312" w:cs="Times New Roman"/>
          <w:sz w:val="32"/>
          <w:szCs w:val="32"/>
          <w:lang w:val="en-US" w:eastAsia="zh-CN"/>
        </w:rPr>
        <w:t>计划2025年在工业园区设立</w:t>
      </w:r>
      <w:r>
        <w:rPr>
          <w:rFonts w:hint="eastAsia"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lang w:val="en-US" w:eastAsia="zh-CN"/>
        </w:rPr>
        <w:t>市场监管综合服务窗口，为经营主体和群众提供登记注册、计量、标准、检验检测、知识产权保护“一站式”便民服务。</w:t>
      </w:r>
      <w:r>
        <w:rPr>
          <w:rFonts w:hint="default" w:ascii="Times New Roman" w:hAnsi="Times New Roman" w:eastAsia="仿宋_GB2312" w:cs="Times New Roman"/>
          <w:kern w:val="2"/>
          <w:sz w:val="32"/>
          <w:szCs w:val="32"/>
          <w:lang w:val="en-US" w:eastAsia="zh-CN" w:bidi="ar-SA"/>
        </w:rPr>
        <w:t>深入推广首席质量官制度，到2025年底力争实现首席质量官制度在规模以上工业企业全覆盖，小微企业首席质量官达到160名。</w:t>
      </w:r>
    </w:p>
    <w:p w14:paraId="2C7C6747">
      <w:pPr>
        <w:pStyle w:val="2"/>
        <w:ind w:firstLine="640"/>
        <w:jc w:val="both"/>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四是聚焦安全保障。毫不松懈强化食药安全监管。全年完成食品安全监督抽检1900批次以上，继续保持主体覆盖率、督导任务完成率及问题整改率三个100%。持续推动药品监管能力标准化建设，为药品、医疗器械、化妆品日常监管提供有力支撑。</w:t>
      </w:r>
    </w:p>
    <w:p w14:paraId="33FFE934">
      <w:pPr>
        <w:pStyle w:val="3"/>
        <w:ind w:firstLine="640"/>
        <w:rPr>
          <w:rFonts w:hint="eastAsia" w:eastAsia="宋体"/>
          <w:lang w:eastAsia="zh-CN"/>
        </w:rPr>
      </w:pPr>
    </w:p>
    <w:p w14:paraId="524D234C">
      <w:pPr>
        <w:widowControl/>
        <w:spacing w:line="560" w:lineRule="exact"/>
        <w:ind w:firstLine="723" w:firstLineChars="200"/>
        <w:jc w:val="center"/>
        <w:rPr>
          <w:rFonts w:ascii="仿宋_GB2312" w:eastAsia="仿宋_GB2312"/>
          <w:b/>
          <w:sz w:val="36"/>
          <w:szCs w:val="32"/>
        </w:rPr>
      </w:pPr>
      <w:r>
        <w:rPr>
          <w:rFonts w:hint="eastAsia" w:ascii="仿宋_GB2312" w:hAnsi="仿宋" w:eastAsia="仿宋_GB2312" w:cs="仿宋"/>
          <w:b/>
          <w:bCs/>
          <w:kern w:val="0"/>
          <w:sz w:val="36"/>
          <w:szCs w:val="32"/>
          <w:lang w:bidi="ar"/>
        </w:rPr>
        <w:t>第二部分 2025年</w:t>
      </w:r>
      <w:r>
        <w:rPr>
          <w:rFonts w:hint="eastAsia" w:ascii="仿宋_GB2312" w:hAnsi="仿宋" w:eastAsia="仿宋_GB2312" w:cs="仿宋"/>
          <w:b/>
          <w:bCs/>
          <w:kern w:val="0"/>
          <w:sz w:val="36"/>
          <w:szCs w:val="32"/>
          <w:lang w:val="en-US" w:eastAsia="zh-CN" w:bidi="ar"/>
        </w:rPr>
        <w:t>单位</w:t>
      </w:r>
      <w:r>
        <w:rPr>
          <w:rFonts w:hint="eastAsia" w:ascii="仿宋_GB2312" w:hAnsi="仿宋" w:eastAsia="仿宋_GB2312" w:cs="仿宋"/>
          <w:b/>
          <w:bCs/>
          <w:kern w:val="0"/>
          <w:sz w:val="36"/>
          <w:szCs w:val="32"/>
          <w:lang w:bidi="ar"/>
        </w:rPr>
        <w:t>预算安排情况说明</w:t>
      </w:r>
    </w:p>
    <w:p w14:paraId="55B4D86A">
      <w:pPr>
        <w:widowControl/>
        <w:spacing w:line="560" w:lineRule="exact"/>
        <w:ind w:firstLine="643" w:firstLineChars="200"/>
        <w:jc w:val="left"/>
        <w:rPr>
          <w:rFonts w:ascii="仿宋_GB2312" w:hAnsi="仿宋" w:eastAsia="仿宋_GB2312" w:cs="仿宋"/>
          <w:b/>
          <w:bCs/>
          <w:kern w:val="0"/>
          <w:sz w:val="32"/>
          <w:szCs w:val="32"/>
          <w:lang w:bidi="ar"/>
        </w:rPr>
      </w:pPr>
    </w:p>
    <w:p w14:paraId="701DD300">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bidi="ar"/>
        </w:rPr>
        <w:t>一、2025年</w:t>
      </w:r>
      <w:r>
        <w:rPr>
          <w:rFonts w:hint="eastAsia" w:ascii="黑体" w:hAnsi="黑体" w:eastAsia="黑体" w:cs="仿宋"/>
          <w:bCs/>
          <w:kern w:val="0"/>
          <w:sz w:val="32"/>
          <w:szCs w:val="32"/>
          <w:lang w:val="en-US" w:eastAsia="zh-CN" w:bidi="ar"/>
        </w:rPr>
        <w:t>单位</w:t>
      </w:r>
      <w:r>
        <w:rPr>
          <w:rFonts w:hint="eastAsia" w:ascii="黑体" w:hAnsi="黑体" w:eastAsia="黑体" w:cs="仿宋"/>
          <w:bCs/>
          <w:kern w:val="0"/>
          <w:sz w:val="32"/>
          <w:szCs w:val="32"/>
          <w:lang w:bidi="ar"/>
        </w:rPr>
        <w:t>预算收支总体情况说明</w:t>
      </w:r>
    </w:p>
    <w:p w14:paraId="599A6A64">
      <w:pPr>
        <w:pStyle w:val="6"/>
        <w:tabs>
          <w:tab w:val="left" w:pos="5840"/>
          <w:tab w:val="left" w:pos="7858"/>
          <w:tab w:val="left" w:pos="9328"/>
        </w:tabs>
        <w:spacing w:after="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乌海市市场监督管理局（本级）单位2025年度收入、支出预算总计1,845.33万元，与上年相比收、支预算总计减少240.14万元，减少11.51%，主要原因是一是本年度我单位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名行政工勤人员，工资发放比例减少，导致人员经费减少；二是单位的项目支出减少，主要减少的是：2025年</w:t>
      </w:r>
      <w:r>
        <w:rPr>
          <w:rFonts w:hint="eastAsia" w:ascii="仿宋_GB2312" w:hAnsi="仿宋_GB2312" w:eastAsia="仿宋_GB2312" w:cs="仿宋_GB2312"/>
          <w:sz w:val="32"/>
          <w:szCs w:val="32"/>
          <w:lang w:val="en-US" w:eastAsia="zh-CN"/>
        </w:rPr>
        <w:t>未做</w:t>
      </w:r>
      <w:r>
        <w:rPr>
          <w:rFonts w:hint="eastAsia" w:ascii="仿宋_GB2312" w:hAnsi="仿宋_GB2312" w:eastAsia="仿宋_GB2312" w:cs="仿宋_GB2312"/>
          <w:sz w:val="32"/>
          <w:szCs w:val="32"/>
        </w:rPr>
        <w:t>市长质量奖奖励经费项目，</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且本年项目中仅有聘用人员各项保险不包含聘用人员工资</w:t>
      </w:r>
      <w:r>
        <w:rPr>
          <w:rFonts w:hint="eastAsia" w:ascii="仿宋_GB2312" w:hAnsi="仿宋_GB2312" w:eastAsia="仿宋_GB2312" w:cs="仿宋_GB2312"/>
          <w:sz w:val="32"/>
          <w:szCs w:val="32"/>
          <w:lang w:eastAsia="zh-CN"/>
        </w:rPr>
        <w:t>。</w:t>
      </w:r>
    </w:p>
    <w:p w14:paraId="01D3228A">
      <w:pPr>
        <w:pStyle w:val="6"/>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（一）收入预算总计1,845.33万元。包括：</w:t>
      </w:r>
    </w:p>
    <w:p w14:paraId="0F90C270">
      <w:pPr>
        <w:pStyle w:val="6"/>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1．本年收入合计1,845.33万元。</w:t>
      </w:r>
    </w:p>
    <w:p w14:paraId="30E49D89">
      <w:pPr>
        <w:pStyle w:val="6"/>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（1）一般公共预算拨款收入1,845.33万元，与上年相比减少240.14万元，减少11.51%。主要原因是一是本年度我单位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名行政工勤人员，工资发放比例减少，导致人员经费减少；二是单位的项目支出减少，主要减少的是：2025年</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市长质量奖奖励经费项目，</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且本年项目中仅有聘用人员各项保险不包含聘用人员工资。</w:t>
      </w:r>
    </w:p>
    <w:p w14:paraId="1C4B18DB">
      <w:pPr>
        <w:pStyle w:val="6"/>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（2）政府性基金预算拨款收入0万元，与上年相比增加0万元，增加0%。主要原因是不存在此项内容。</w:t>
      </w:r>
    </w:p>
    <w:p w14:paraId="3FBBD8A8">
      <w:pPr>
        <w:pStyle w:val="6"/>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（3）国有资本经营预算拨款收入0万元，与上年相比增加0万元，增加0%。主要原因是不存在此项内容。</w:t>
      </w:r>
    </w:p>
    <w:p w14:paraId="1F6C78D1">
      <w:pPr>
        <w:pStyle w:val="6"/>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（4）财政专户管理资金收入0万元，与上年相比增加0万元，增加0%。主要原因是不存在此项内容。</w:t>
      </w:r>
    </w:p>
    <w:p w14:paraId="0DE6602B">
      <w:pPr>
        <w:pStyle w:val="6"/>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（5）事业收入0万元，与上年相比增加0万元，增加0%。主要原因是不存在此项内容。</w:t>
      </w:r>
    </w:p>
    <w:p w14:paraId="3347CC89">
      <w:pPr>
        <w:pStyle w:val="6"/>
        <w:tabs>
          <w:tab w:val="left" w:pos="1389"/>
          <w:tab w:val="left" w:pos="4911"/>
          <w:tab w:val="left" w:pos="590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（6）事业单位经营收入0万元，与上年相比增加0万元，增加0%。主要原因是不存在此项内容。</w:t>
      </w:r>
    </w:p>
    <w:p w14:paraId="6775B425">
      <w:pPr>
        <w:pStyle w:val="6"/>
        <w:tabs>
          <w:tab w:val="left" w:pos="1389"/>
          <w:tab w:val="left" w:pos="4911"/>
          <w:tab w:val="left" w:pos="590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（7）上级补助收入0万元，与上年相比增加0万元，增加0%。主要原因是不存在此项内容。</w:t>
      </w:r>
    </w:p>
    <w:p w14:paraId="644503CD">
      <w:pPr>
        <w:pStyle w:val="6"/>
        <w:tabs>
          <w:tab w:val="left" w:pos="1389"/>
          <w:tab w:val="left" w:pos="4911"/>
          <w:tab w:val="left" w:pos="590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（8）附属单位上缴收入0万元，与上年相比增加0万元，增加0%。主要原因是不存在此项内容。</w:t>
      </w:r>
    </w:p>
    <w:p w14:paraId="106C0CD8">
      <w:pPr>
        <w:pStyle w:val="6"/>
        <w:tabs>
          <w:tab w:val="left" w:pos="1389"/>
          <w:tab w:val="left" w:pos="4911"/>
          <w:tab w:val="left" w:pos="590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（9）其他收入0万元，与上年相比增加0万元，增加0%。主要原因是不存在此项内容。</w:t>
      </w:r>
    </w:p>
    <w:p w14:paraId="1C8A460A">
      <w:pPr>
        <w:pStyle w:val="6"/>
        <w:tabs>
          <w:tab w:val="left" w:pos="1389"/>
          <w:tab w:val="left" w:pos="4911"/>
          <w:tab w:val="left" w:pos="590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2．上年结转结余为0万元。与上年相比增加0万元，增加0%。主要原因是本年无上年结转结余款项。</w:t>
      </w:r>
    </w:p>
    <w:p w14:paraId="6BAC8AEC">
      <w:pPr>
        <w:pStyle w:val="6"/>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（二）支出预算总计1,845.33万元。包括：</w:t>
      </w:r>
    </w:p>
    <w:p w14:paraId="1B7FB45A">
      <w:pPr>
        <w:pStyle w:val="6"/>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1．本年支出合计1,845.33万元。</w:t>
      </w:r>
    </w:p>
    <w:p w14:paraId="039ADE73">
      <w:pPr>
        <w:pStyle w:val="6"/>
        <w:tabs>
          <w:tab w:val="left" w:pos="379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（1）一般公共服务支出（类）1,399.11万元，主要用于单位在职人员工资、津补贴和单位正常运转的日常公用经费</w:t>
      </w:r>
      <w:r>
        <w:rPr>
          <w:rFonts w:hint="eastAsia" w:ascii="仿宋_GB2312" w:hAnsi="仿宋_GB2312" w:eastAsia="仿宋_GB2312" w:cs="仿宋_GB2312"/>
          <w:sz w:val="32"/>
          <w:szCs w:val="32"/>
          <w:lang w:val="en-US" w:eastAsia="zh-CN"/>
        </w:rPr>
        <w:t>以及开展市场监督管理各项业务的工作经费</w:t>
      </w:r>
      <w:r>
        <w:rPr>
          <w:rFonts w:hint="eastAsia" w:ascii="仿宋_GB2312" w:hAnsi="仿宋_GB2312" w:eastAsia="仿宋_GB2312" w:cs="仿宋_GB2312"/>
          <w:sz w:val="32"/>
          <w:szCs w:val="32"/>
        </w:rPr>
        <w:t>。与上年相比减少218.13万元，减少13.49%。主要原因是一是本年度我单位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名行政工勤人员，工资发放比例减少，导致人员经费减少；二是单位的项目支出减少，主要减少的是：2025年</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市长质量奖奖励经费项目，</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且本年项目中仅有聘用人员各项保险不包含聘用人员工资。</w:t>
      </w:r>
    </w:p>
    <w:p w14:paraId="7A752BC6">
      <w:pPr>
        <w:pStyle w:val="6"/>
        <w:tabs>
          <w:tab w:val="left" w:pos="3288"/>
          <w:tab w:val="left" w:pos="5641"/>
          <w:tab w:val="left" w:pos="6778"/>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272.85万元，主要用于机关单位基本养老保险缴费、单位职业年金缴费、失业保险基金补助及机关单位生育保险基金补助。与上年相比减少7.64万元，减少2.72%。主要原因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名行政工勤人员，相应社保缴费减少。</w:t>
      </w:r>
    </w:p>
    <w:p w14:paraId="5305FF7B">
      <w:pPr>
        <w:pStyle w:val="6"/>
        <w:tabs>
          <w:tab w:val="left" w:pos="3288"/>
          <w:tab w:val="left" w:pos="5641"/>
          <w:tab w:val="left" w:pos="6778"/>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（3）卫生健康支出（类）66.68万元，主要用于发放人员的医疗保险、生育保险等。与上年相比减少5.53万元，减少7.65%。主要原因是本年度我单位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名行政工勤人员，医疗保险缴费减少。</w:t>
      </w:r>
    </w:p>
    <w:p w14:paraId="03F97DB7">
      <w:pPr>
        <w:pStyle w:val="6"/>
        <w:tabs>
          <w:tab w:val="left" w:pos="3288"/>
          <w:tab w:val="left" w:pos="5641"/>
          <w:tab w:val="left" w:pos="6778"/>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（4）住房保障支出（类）106.69万元，主要用于发放人员的住房公积金。与上年相比减少8.84万元，减少7.65%。主要原因是本年度我单位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名行政工勤人员，住房公积金缴费减少。</w:t>
      </w:r>
    </w:p>
    <w:p w14:paraId="1C9CE31A">
      <w:pPr>
        <w:pStyle w:val="6"/>
        <w:numPr>
          <w:ilvl w:val="0"/>
          <w:numId w:val="1"/>
        </w:numPr>
        <w:tabs>
          <w:tab w:val="left" w:pos="4112"/>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年终结转结余为0万元，主要原因是年终无结转结余。</w:t>
      </w:r>
    </w:p>
    <w:p w14:paraId="7B18BFE8">
      <w:pPr>
        <w:spacing w:line="560" w:lineRule="exact"/>
        <w:ind w:firstLine="640" w:firstLineChars="200"/>
        <w:outlineLvl w:val="0"/>
        <w:rPr>
          <w:rFonts w:eastAsia="黑体" w:cs="黑体"/>
          <w:sz w:val="32"/>
          <w:szCs w:val="36"/>
        </w:rPr>
      </w:pPr>
      <w:r>
        <w:rPr>
          <w:rFonts w:hint="eastAsia" w:eastAsia="黑体" w:cs="黑体"/>
          <w:sz w:val="32"/>
          <w:szCs w:val="36"/>
        </w:rPr>
        <w:t>二、收入预算情况说明</w:t>
      </w:r>
    </w:p>
    <w:p w14:paraId="3F5EC184">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乌海市市场监督管理局（本级）单位2025年收入预算合计1,845.33万元，包括本年收入1,845.33万元，上年结转结余0万元。</w:t>
      </w:r>
    </w:p>
    <w:p w14:paraId="717A4382">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w:t>
      </w:r>
    </w:p>
    <w:p w14:paraId="7546C498">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本年一般公共预算收入1,845.33万元，占100%；</w:t>
      </w:r>
    </w:p>
    <w:p w14:paraId="2C9A46D9">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本年国有资本经营预算收入0万元，占0%；</w:t>
      </w:r>
    </w:p>
    <w:p w14:paraId="3F288EBE">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本年财政专户管理资金0万元，占0%；</w:t>
      </w:r>
    </w:p>
    <w:p w14:paraId="10ECF8C5">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本年事业收入0万元，占0%；</w:t>
      </w:r>
    </w:p>
    <w:p w14:paraId="7A8B45F8">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本年事业单位经营收入0万元，占0%；</w:t>
      </w:r>
    </w:p>
    <w:p w14:paraId="73AD779E">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本年上级补助收入0万元，占0%；</w:t>
      </w:r>
    </w:p>
    <w:p w14:paraId="63B03ECD">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本年附属单位上缴收入0万元，占0%；</w:t>
      </w:r>
    </w:p>
    <w:p w14:paraId="28AC6069">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本年其他收入0万元，占0%；</w:t>
      </w:r>
    </w:p>
    <w:p w14:paraId="08CEB549">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上年结转结余的一般公共预算收入0万元，占0%；</w:t>
      </w:r>
    </w:p>
    <w:p w14:paraId="5619EA94">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上年结转结余的政府性基金预算收入0万元，占0%；</w:t>
      </w:r>
    </w:p>
    <w:p w14:paraId="4E1B4308">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上年结转结余的国有资本经营预算收入0万元，占0%；</w:t>
      </w:r>
    </w:p>
    <w:p w14:paraId="19E7BBF2">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上年结转结余的财政专户管理资金0万元，占0%；</w:t>
      </w:r>
    </w:p>
    <w:p w14:paraId="73EC16AA">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上年结转结余的单位资金0万元，占0%；</w:t>
      </w:r>
    </w:p>
    <w:p w14:paraId="6B41E5EE">
      <w:pPr>
        <w:pStyle w:val="10"/>
        <w:rPr>
          <w:rFonts w:hint="default"/>
        </w:rPr>
      </w:pPr>
      <w:r>
        <w:drawing>
          <wp:inline distT="0" distB="0" distL="114300" distR="114300">
            <wp:extent cx="5448300" cy="32067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48300" cy="3206750"/>
                    </a:xfrm>
                    <a:prstGeom prst="rect">
                      <a:avLst/>
                    </a:prstGeom>
                    <a:noFill/>
                    <a:ln>
                      <a:noFill/>
                    </a:ln>
                  </pic:spPr>
                </pic:pic>
              </a:graphicData>
            </a:graphic>
          </wp:inline>
        </w:drawing>
      </w:r>
    </w:p>
    <w:p w14:paraId="17BF2360">
      <w:pPr>
        <w:pStyle w:val="10"/>
        <w:tabs>
          <w:tab w:val="left" w:pos="0"/>
        </w:tabs>
        <w:ind w:left="0" w:leftChars="0" w:firstLine="0"/>
        <w:jc w:val="center"/>
        <w:rPr>
          <w:rFonts w:hint="default" w:ascii="Times New Roman" w:hAnsi="Times New Roman" w:eastAsia="仿宋_GB2312" w:cs="仿宋"/>
          <w:sz w:val="32"/>
          <w:szCs w:val="32"/>
        </w:rPr>
      </w:pPr>
      <w:r>
        <w:rPr>
          <w:rFonts w:eastAsia="仿宋_GB2312"/>
          <w:sz w:val="32"/>
          <w:szCs w:val="32"/>
        </w:rPr>
        <w:t>图1.收入预算图</w:t>
      </w:r>
    </w:p>
    <w:p w14:paraId="65288D55">
      <w:pPr>
        <w:spacing w:line="560" w:lineRule="exact"/>
        <w:ind w:firstLine="643" w:firstLineChars="200"/>
        <w:outlineLvl w:val="0"/>
        <w:rPr>
          <w:rFonts w:eastAsia="黑体" w:cs="黑体"/>
          <w:b/>
          <w:bCs/>
          <w:sz w:val="32"/>
          <w:szCs w:val="36"/>
        </w:rPr>
      </w:pPr>
      <w:r>
        <w:rPr>
          <w:rFonts w:hint="eastAsia" w:eastAsia="黑体" w:cs="黑体"/>
          <w:b/>
          <w:bCs/>
          <w:sz w:val="32"/>
          <w:szCs w:val="36"/>
        </w:rPr>
        <w:t>三、支出预算情况说明</w:t>
      </w:r>
    </w:p>
    <w:p w14:paraId="2D2615AE">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乌海市市场监督管理局（本级）单位2025年支出预算合计1,845.33万元，其中：</w:t>
      </w:r>
    </w:p>
    <w:p w14:paraId="4B196A68">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基本支出1,497.35万元，占81.14%；</w:t>
      </w:r>
    </w:p>
    <w:p w14:paraId="2FEA666B">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项目支出347.98万元，占18.86%；</w:t>
      </w:r>
    </w:p>
    <w:p w14:paraId="24BEBA04">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事业单位经营支出0万元，占0%；</w:t>
      </w:r>
    </w:p>
    <w:p w14:paraId="411EEB36">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上缴上级支出0万元，占0%；</w:t>
      </w:r>
    </w:p>
    <w:p w14:paraId="6798A7A0">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对附属单位补助支出0万元，占0%；</w:t>
      </w:r>
    </w:p>
    <w:p w14:paraId="07C11C4D">
      <w:pPr>
        <w:pStyle w:val="10"/>
        <w:rPr>
          <w:rFonts w:hint="default" w:ascii="仿宋_GB2312" w:hAnsi="仿宋_GB2312" w:eastAsia="仿宋_GB2312" w:cs="仿宋_GB2312"/>
          <w:sz w:val="32"/>
          <w:szCs w:val="32"/>
          <w:highlight w:val="yellow"/>
          <w:lang w:bidi="ar"/>
        </w:rPr>
      </w:pPr>
      <w:r>
        <w:drawing>
          <wp:inline distT="0" distB="0" distL="114300" distR="114300">
            <wp:extent cx="5611495" cy="3025775"/>
            <wp:effectExtent l="0" t="0" r="190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611495" cy="3025775"/>
                    </a:xfrm>
                    <a:prstGeom prst="rect">
                      <a:avLst/>
                    </a:prstGeom>
                    <a:noFill/>
                    <a:ln>
                      <a:noFill/>
                    </a:ln>
                  </pic:spPr>
                </pic:pic>
              </a:graphicData>
            </a:graphic>
          </wp:inline>
        </w:drawing>
      </w:r>
    </w:p>
    <w:p w14:paraId="6048B883">
      <w:pPr>
        <w:pStyle w:val="10"/>
        <w:ind w:left="0" w:leftChars="0" w:firstLine="220"/>
        <w:jc w:val="center"/>
        <w:rPr>
          <w:rFonts w:hint="default" w:ascii="仿宋_GB2312" w:hAnsi="仿宋_GB2312" w:eastAsia="仿宋_GB2312" w:cs="仿宋_GB2312"/>
          <w:sz w:val="32"/>
          <w:szCs w:val="32"/>
          <w:highlight w:val="yellow"/>
          <w:lang w:bidi="ar"/>
        </w:rPr>
      </w:pPr>
      <w:r>
        <w:rPr>
          <w:rFonts w:eastAsia="仿宋_GB2312"/>
          <w:sz w:val="32"/>
          <w:szCs w:val="32"/>
        </w:rPr>
        <w:t>图2.支出预算图</w:t>
      </w:r>
    </w:p>
    <w:p w14:paraId="486FB115">
      <w:pPr>
        <w:spacing w:line="560" w:lineRule="exact"/>
        <w:ind w:firstLine="640" w:firstLineChars="200"/>
        <w:outlineLvl w:val="0"/>
        <w:rPr>
          <w:rFonts w:eastAsia="黑体" w:cs="黑体"/>
          <w:sz w:val="32"/>
          <w:szCs w:val="36"/>
        </w:rPr>
      </w:pPr>
      <w:r>
        <w:rPr>
          <w:rFonts w:hint="eastAsia" w:eastAsia="黑体" w:cs="黑体"/>
          <w:sz w:val="32"/>
          <w:szCs w:val="36"/>
        </w:rPr>
        <w:t>四、财政拨款收支预算总体情况说明</w:t>
      </w:r>
    </w:p>
    <w:p w14:paraId="488A7A09">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乌海市市场监督管理局（本级）单位2025年度财政拨款收、支总预算1,845.33万元。</w:t>
      </w:r>
      <w:r>
        <w:rPr>
          <w:rFonts w:hint="eastAsia" w:ascii="仿宋_GB2312" w:hAnsi="仿宋_GB2312" w:eastAsia="仿宋_GB2312" w:cs="仿宋_GB2312"/>
          <w:kern w:val="0"/>
          <w:sz w:val="32"/>
          <w:szCs w:val="32"/>
          <w:lang w:bidi="ar"/>
        </w:rPr>
        <w:t>其中本年收入安排一般公共预算财政拨款</w:t>
      </w:r>
      <w:r>
        <w:rPr>
          <w:rFonts w:hint="eastAsia" w:ascii="仿宋_GB2312" w:hAnsi="仿宋_GB2312" w:eastAsia="仿宋_GB2312" w:cs="仿宋_GB2312"/>
          <w:sz w:val="32"/>
          <w:szCs w:val="32"/>
        </w:rPr>
        <w:t>1,845.33</w:t>
      </w:r>
      <w:r>
        <w:rPr>
          <w:rFonts w:hint="eastAsia" w:ascii="仿宋_GB2312" w:hAnsi="仿宋_GB2312" w:eastAsia="仿宋_GB2312" w:cs="仿宋_GB2312"/>
          <w:kern w:val="0"/>
          <w:sz w:val="32"/>
          <w:szCs w:val="32"/>
          <w:lang w:bidi="ar"/>
        </w:rPr>
        <w:t>万元、占比</w:t>
      </w:r>
      <w:r>
        <w:rPr>
          <w:rFonts w:hint="eastAsia" w:ascii="仿宋_GB2312" w:hAnsi="仿宋_GB2312" w:eastAsia="仿宋_GB2312" w:cs="仿宋_GB2312"/>
          <w:sz w:val="32"/>
          <w:szCs w:val="32"/>
        </w:rPr>
        <w:t>100</w:t>
      </w:r>
      <w:r>
        <w:rPr>
          <w:rFonts w:hint="eastAsia" w:ascii="仿宋_GB2312" w:hAnsi="仿宋_GB2312" w:eastAsia="仿宋_GB2312" w:cs="仿宋_GB2312"/>
          <w:kern w:val="0"/>
          <w:sz w:val="32"/>
          <w:szCs w:val="32"/>
          <w:lang w:bidi="ar"/>
        </w:rPr>
        <w:t>%；政府性基金预算财政拨款</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万元，占比</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%；国有资本经营预算</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万元，占比</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%；上年结转</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元，占比</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sz w:val="32"/>
          <w:szCs w:val="32"/>
        </w:rPr>
        <w:t>与上年相比，财政拨款收、支总计各减少240.14万元，减少11.51%。主要原因是一是本年度我单位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名行政工勤人员，工资发放比例减少，导致人员经费减少；二是单位的项目支出减少，主要减少的是：2025年没有市长质量奖奖励经费项目，而且本年项目中仅有聘用人员各项保险不包含聘用人员工资。</w:t>
      </w:r>
    </w:p>
    <w:p w14:paraId="3869B6F5">
      <w:pPr>
        <w:spacing w:line="560" w:lineRule="exact"/>
        <w:ind w:firstLine="640" w:firstLineChars="200"/>
        <w:outlineLvl w:val="0"/>
        <w:rPr>
          <w:rFonts w:eastAsia="黑体" w:cs="黑体"/>
          <w:sz w:val="32"/>
          <w:szCs w:val="36"/>
        </w:rPr>
      </w:pPr>
      <w:r>
        <w:rPr>
          <w:rFonts w:hint="eastAsia" w:eastAsia="黑体" w:cs="黑体"/>
          <w:sz w:val="32"/>
          <w:szCs w:val="36"/>
        </w:rPr>
        <w:t>五、一般公共预算支出预算情况说明</w:t>
      </w:r>
    </w:p>
    <w:p w14:paraId="1FA08C5B">
      <w:pPr>
        <w:pStyle w:val="6"/>
        <w:tabs>
          <w:tab w:val="left" w:pos="2671"/>
          <w:tab w:val="left" w:pos="5000"/>
          <w:tab w:val="left" w:pos="6190"/>
        </w:tabs>
        <w:spacing w:after="0"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乌海市市场监督管理局（本级）单位2025年一般公共预算财政拨款支出预算1,845.33万元，与上年相比减少240.14万元，减少11.51%。主要原因是一是本年度我单位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名行政工勤人员，工资发放比例减少，导致人员经费减少；二是单位的项目支出减少，主要减少的是：2025年</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市长质量奖奖励经费项目，</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且聘用人员工资本年不做项目申报。</w:t>
      </w:r>
      <w:r>
        <w:rPr>
          <w:rFonts w:hint="eastAsia" w:eastAsia="仿宋_GB2312"/>
          <w:sz w:val="32"/>
          <w:szCs w:val="32"/>
        </w:rPr>
        <w:t>具体情况如下：</w:t>
      </w:r>
    </w:p>
    <w:p w14:paraId="5E3E0D9C">
      <w:pPr>
        <w:pStyle w:val="6"/>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（一）一般公共服务支出（类）</w:t>
      </w:r>
    </w:p>
    <w:p w14:paraId="01C5E46B">
      <w:pPr>
        <w:pStyle w:val="6"/>
        <w:tabs>
          <w:tab w:val="left" w:pos="4275"/>
        </w:tabs>
        <w:spacing w:after="0" w:line="560" w:lineRule="exact"/>
        <w:ind w:firstLine="640" w:firstLineChars="200"/>
        <w:rPr>
          <w:rFonts w:ascii="仿宋_GB2312" w:hAnsi="仿宋_GB2312" w:eastAsia="仿宋_GB2312" w:cs="仿宋_GB2312"/>
          <w:sz w:val="32"/>
          <w:szCs w:val="32"/>
        </w:rPr>
      </w:pPr>
      <w:r>
        <w:rPr>
          <w:rFonts w:hint="eastAsia" w:eastAsia="仿宋_GB2312"/>
          <w:sz w:val="32"/>
          <w:szCs w:val="32"/>
        </w:rPr>
        <w:t>一般公共服务</w:t>
      </w:r>
      <w:r>
        <w:rPr>
          <w:rFonts w:hint="eastAsia" w:ascii="仿宋_GB2312" w:hAnsi="仿宋_GB2312" w:eastAsia="仿宋_GB2312" w:cs="仿宋_GB2312"/>
          <w:sz w:val="32"/>
          <w:szCs w:val="32"/>
        </w:rPr>
        <w:t>支出（类）年初预算数为1,399.11万元，与上年相比减少218.13万元。其中：</w:t>
      </w:r>
    </w:p>
    <w:p w14:paraId="631C10C5">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1.民主党派及工商联事务（款）行政运行（项）。年初预算27.79万元，与上年相比增加27.79万元，增加100%。变动原因是本年在职人员</w:t>
      </w:r>
      <w:r>
        <w:rPr>
          <w:rFonts w:hint="eastAsia" w:ascii="仿宋_GB2312" w:hAnsi="仿宋_GB2312" w:eastAsia="仿宋_GB2312" w:cs="仿宋_GB2312"/>
          <w:sz w:val="32"/>
          <w:szCs w:val="32"/>
          <w:lang w:eastAsia="zh-CN"/>
        </w:rPr>
        <w:t>年终一次性奖金由此</w:t>
      </w:r>
      <w:r>
        <w:rPr>
          <w:rFonts w:hint="eastAsia" w:ascii="仿宋_GB2312" w:hAnsi="仿宋_GB2312" w:eastAsia="仿宋_GB2312" w:cs="仿宋_GB2312"/>
          <w:sz w:val="32"/>
          <w:szCs w:val="32"/>
        </w:rPr>
        <w:t>支出功能分类</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w:t>
      </w:r>
    </w:p>
    <w:p w14:paraId="1AC6C19F">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2.群众团体事务（款）其他群众团体事务支出（项）。年初预算16.89万元，与上年相比减少1.21万元，减少6.7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%。变动原因是本年度我单位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名行政工勤人员，公用经费减少。</w:t>
      </w:r>
    </w:p>
    <w:p w14:paraId="1801BC7C">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3.市场监督管理事务（款）行政运行（项）。年初预算1,006.45万元，与上年相比减少116.68万元，减少10.39%。变动原因是本年度我单位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名行政工勤人员，人员工资发放减少。</w:t>
      </w:r>
    </w:p>
    <w:p w14:paraId="4E635DA7">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市场监督管理事务（款）一般行政管理事务（项）。年初预算312.98万元，与上年相比减少108.02万元，减少25.66%。变动原因是单位的项目支出减少，主要减少的是：2025年没有市长质量奖奖励经费项目，而且聘用人员工资本年不做项目申报。</w:t>
      </w:r>
    </w:p>
    <w:p w14:paraId="16DAB2F4">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5.市场监督管理事务（款）市场秩序执法（项）。年初预算10万元，与上年相比增加0万元，增加0%。变动原因是与上年保持一致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无变动</w:t>
      </w:r>
      <w:r>
        <w:rPr>
          <w:rFonts w:hint="eastAsia" w:ascii="仿宋_GB2312" w:hAnsi="仿宋_GB2312" w:eastAsia="仿宋_GB2312" w:cs="仿宋_GB2312"/>
          <w:sz w:val="32"/>
          <w:szCs w:val="32"/>
        </w:rPr>
        <w:t>。</w:t>
      </w:r>
    </w:p>
    <w:p w14:paraId="2299976B">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6.市场监督管理事务（款）药品事务（项）。年初预算10万元，与上年相比增加0万元，增加0%。变动原因是与上年保持一致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无变动</w:t>
      </w:r>
      <w:r>
        <w:rPr>
          <w:rFonts w:hint="eastAsia" w:ascii="仿宋_GB2312" w:hAnsi="仿宋_GB2312" w:eastAsia="仿宋_GB2312" w:cs="仿宋_GB2312"/>
          <w:sz w:val="32"/>
          <w:szCs w:val="32"/>
        </w:rPr>
        <w:t>。</w:t>
      </w:r>
    </w:p>
    <w:p w14:paraId="216BBC59">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7.市场监督管理事务（款）食品安全监管（项）。年初预算15万元，与上年相比增加0万元，增加0%。变动原因是与上年保持一致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无变动</w:t>
      </w:r>
      <w:r>
        <w:rPr>
          <w:rFonts w:hint="eastAsia" w:ascii="仿宋_GB2312" w:hAnsi="仿宋_GB2312" w:eastAsia="仿宋_GB2312" w:cs="仿宋_GB2312"/>
          <w:sz w:val="32"/>
          <w:szCs w:val="32"/>
        </w:rPr>
        <w:t>。</w:t>
      </w:r>
    </w:p>
    <w:p w14:paraId="7B407AD9">
      <w:pPr>
        <w:pStyle w:val="6"/>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（二）社会保障和就业支出（类）</w:t>
      </w:r>
    </w:p>
    <w:p w14:paraId="5392F1BD">
      <w:pPr>
        <w:pStyle w:val="6"/>
        <w:tabs>
          <w:tab w:val="left" w:pos="4275"/>
        </w:tabs>
        <w:spacing w:after="0" w:line="560" w:lineRule="exact"/>
        <w:ind w:firstLine="640" w:firstLineChars="200"/>
        <w:rPr>
          <w:rFonts w:ascii="仿宋_GB2312" w:hAnsi="仿宋_GB2312" w:eastAsia="仿宋_GB2312" w:cs="仿宋_GB2312"/>
          <w:sz w:val="32"/>
          <w:szCs w:val="32"/>
        </w:rPr>
      </w:pPr>
      <w:r>
        <w:rPr>
          <w:rFonts w:hint="eastAsia" w:eastAsia="仿宋_GB2312"/>
          <w:sz w:val="32"/>
          <w:szCs w:val="32"/>
        </w:rPr>
        <w:t>社会保障和就</w:t>
      </w:r>
      <w:r>
        <w:rPr>
          <w:rFonts w:hint="eastAsia" w:ascii="仿宋_GB2312" w:hAnsi="仿宋_GB2312" w:eastAsia="仿宋_GB2312" w:cs="仿宋_GB2312"/>
          <w:sz w:val="32"/>
          <w:szCs w:val="32"/>
        </w:rPr>
        <w:t>业支出（类）年初预算数为272.85万元，与上年相比减少7.64万元。其中：</w:t>
      </w:r>
    </w:p>
    <w:p w14:paraId="710D985D">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1.行政事业单位养老支出（款）行政单位离退休（项）。年初预算98.2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万元，与上年相比增加4.53万元，增加4.83%。变动原因是本年度我单位有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名行政工勤人员退休。</w:t>
      </w:r>
    </w:p>
    <w:p w14:paraId="75ECD29A">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2.行政事业单位养老支出（款）机关事业单位基本养老保险缴费支出（项）。年初预算116.43万元，与上年相比减少8.11万元，减少6.51%。变动原因是本年度我单位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名行政工勤人员，基本养老保险缴费支出减少。</w:t>
      </w:r>
    </w:p>
    <w:p w14:paraId="5590F2CA">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3.行政事业单位养老支出（款）机关事业单位职业年金缴费支出（项）。年初预算58.22万元，与上年相比减少4.05万元，减少6.51%。变动原因是本年度我单位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名行政工勤人员，基本养老保险缴费支出减少。</w:t>
      </w:r>
    </w:p>
    <w:p w14:paraId="43F8C016">
      <w:pPr>
        <w:pStyle w:val="6"/>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（三）卫生健康支出（类）</w:t>
      </w:r>
    </w:p>
    <w:p w14:paraId="7836A757">
      <w:pPr>
        <w:pStyle w:val="6"/>
        <w:tabs>
          <w:tab w:val="left" w:pos="4275"/>
        </w:tabs>
        <w:spacing w:after="0" w:line="560" w:lineRule="exact"/>
        <w:ind w:firstLine="640" w:firstLineChars="200"/>
        <w:rPr>
          <w:rFonts w:hint="eastAsia" w:ascii="仿宋_GB2312" w:hAnsi="仿宋_GB2312" w:eastAsia="仿宋_GB2312" w:cs="仿宋_GB2312"/>
          <w:sz w:val="32"/>
          <w:szCs w:val="32"/>
        </w:rPr>
      </w:pPr>
      <w:r>
        <w:rPr>
          <w:rFonts w:hint="eastAsia" w:eastAsia="仿宋_GB2312"/>
          <w:sz w:val="32"/>
          <w:szCs w:val="32"/>
        </w:rPr>
        <w:t>卫生健</w:t>
      </w:r>
      <w:r>
        <w:rPr>
          <w:rFonts w:hint="eastAsia" w:ascii="仿宋_GB2312" w:hAnsi="仿宋_GB2312" w:eastAsia="仿宋_GB2312" w:cs="仿宋_GB2312"/>
          <w:sz w:val="32"/>
          <w:szCs w:val="32"/>
        </w:rPr>
        <w:t>康支出（类）年初预算数为66.68万元，与上年相比减少5.53万元。其中：</w:t>
      </w:r>
    </w:p>
    <w:p w14:paraId="723666B8">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1.行政事业单位医疗（款）行政单位医疗（项）。年初预算66.68万元，与上年相比减少5.53万元，减少7.65%。变动原因是本年度我单位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名行政工勤人员，医疗保险缴费减少。</w:t>
      </w:r>
    </w:p>
    <w:p w14:paraId="1FE3E4ED">
      <w:pPr>
        <w:pStyle w:val="6"/>
        <w:tabs>
          <w:tab w:val="left" w:pos="4275"/>
        </w:tabs>
        <w:spacing w:after="0"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（四）住房保障支出（类）</w:t>
      </w:r>
    </w:p>
    <w:p w14:paraId="77779654">
      <w:pPr>
        <w:pStyle w:val="6"/>
        <w:tabs>
          <w:tab w:val="left" w:pos="4275"/>
        </w:tabs>
        <w:spacing w:after="0" w:line="560" w:lineRule="exact"/>
        <w:ind w:firstLine="640" w:firstLineChars="200"/>
        <w:rPr>
          <w:rFonts w:ascii="仿宋_GB2312" w:hAnsi="仿宋_GB2312" w:eastAsia="仿宋_GB2312" w:cs="仿宋_GB2312"/>
          <w:sz w:val="32"/>
          <w:szCs w:val="32"/>
        </w:rPr>
      </w:pPr>
      <w:r>
        <w:rPr>
          <w:rFonts w:hint="eastAsia" w:eastAsia="仿宋_GB2312"/>
          <w:sz w:val="32"/>
          <w:szCs w:val="32"/>
        </w:rPr>
        <w:t>住房保障支</w:t>
      </w:r>
      <w:r>
        <w:rPr>
          <w:rFonts w:hint="eastAsia" w:ascii="仿宋_GB2312" w:hAnsi="仿宋_GB2312" w:eastAsia="仿宋_GB2312" w:cs="仿宋_GB2312"/>
          <w:sz w:val="32"/>
          <w:szCs w:val="32"/>
        </w:rPr>
        <w:t>出（类）年初预算数为106.69万元，与上年相比减少8.84万元。其中：</w:t>
      </w:r>
    </w:p>
    <w:p w14:paraId="477D4FF5">
      <w:pPr>
        <w:pStyle w:val="6"/>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1.住房改革支出（款）住房公积金（项）。年初预算106.69万元，与上年相比减少8.84万元，减少7.65%。变动原因是本年度我单位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名行政工勤人员，住房公积金缴费减少。</w:t>
      </w:r>
    </w:p>
    <w:p w14:paraId="65C8554D">
      <w:pPr>
        <w:spacing w:line="560" w:lineRule="exact"/>
        <w:ind w:firstLine="640" w:firstLineChars="200"/>
        <w:outlineLvl w:val="0"/>
        <w:rPr>
          <w:rFonts w:eastAsia="黑体" w:cs="黑体"/>
          <w:sz w:val="32"/>
          <w:szCs w:val="36"/>
        </w:rPr>
      </w:pPr>
      <w:r>
        <w:rPr>
          <w:rFonts w:hint="eastAsia" w:eastAsia="黑体" w:cs="黑体"/>
          <w:sz w:val="32"/>
          <w:szCs w:val="36"/>
        </w:rPr>
        <w:t>六、一般公共预算基本支出预算情况说明</w:t>
      </w:r>
    </w:p>
    <w:p w14:paraId="59C85067">
      <w:pPr>
        <w:pStyle w:val="6"/>
        <w:tabs>
          <w:tab w:val="left" w:pos="2671"/>
          <w:tab w:val="left" w:pos="5000"/>
          <w:tab w:val="left" w:pos="6190"/>
        </w:tabs>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乌海市市场监督管理局（本级）单位2025年度一般公共预算财政拨款基本支出预算1,497.35万元，其中：</w:t>
      </w:r>
    </w:p>
    <w:p w14:paraId="5B3E7EC9">
      <w:pPr>
        <w:pStyle w:val="6"/>
        <w:tabs>
          <w:tab w:val="left" w:pos="2671"/>
          <w:tab w:val="left" w:pos="5000"/>
          <w:tab w:val="left" w:pos="6190"/>
        </w:tabs>
        <w:spacing w:after="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（一）人员经费1,338.16万元。</w:t>
      </w:r>
      <w:r>
        <w:rPr>
          <w:rFonts w:hint="eastAsia" w:ascii="仿宋_GB2312" w:hAnsi="仿宋_GB2312" w:eastAsia="仿宋_GB2312" w:cs="仿宋_GB2312"/>
          <w:sz w:val="32"/>
          <w:szCs w:val="32"/>
        </w:rPr>
        <w:t>主要包括：基本工资333.46万元、津贴补贴456.28万元、奖金99.38万元、机关事业单位基本养老保险缴费116.43万元、职业年金缴费58.22万元、职工基本医疗保险缴费66.68万元、其他社会保障缴费2.63万元、住房公积金106.69万元、退休费98.2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万元、其他对个人和家庭的补助0.2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7FBB1F91">
      <w:pPr>
        <w:pStyle w:val="6"/>
        <w:tabs>
          <w:tab w:val="left" w:pos="2671"/>
          <w:tab w:val="left" w:pos="5000"/>
          <w:tab w:val="left" w:pos="6190"/>
        </w:tabs>
        <w:spacing w:after="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（二）公用经费159.19万元。</w:t>
      </w:r>
      <w:r>
        <w:rPr>
          <w:rFonts w:hint="eastAsia" w:ascii="仿宋_GB2312" w:hAnsi="仿宋_GB2312" w:eastAsia="仿宋_GB2312" w:cs="仿宋_GB2312"/>
          <w:sz w:val="32"/>
          <w:szCs w:val="32"/>
        </w:rPr>
        <w:t>办公费8.09万元、手续费0.2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万元、水费1万元、电费10万元、邮电费2.5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万元、差旅费3万元、维修（护）费4万元、租赁费1万元、培训费21.12万元、公务接待费2.75万元、劳务费1.5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万元、工会经费16.89万元、福利费23.04万元、公务用车运行维护费0.25万元、其他交通费用59.94万元、其他商品和服务支出3.91万元。</w:t>
      </w:r>
    </w:p>
    <w:p w14:paraId="388477BB">
      <w:pPr>
        <w:spacing w:line="560" w:lineRule="exact"/>
        <w:ind w:firstLine="640" w:firstLineChars="200"/>
        <w:outlineLvl w:val="0"/>
        <w:rPr>
          <w:rFonts w:eastAsia="黑体" w:cs="黑体"/>
          <w:sz w:val="32"/>
          <w:szCs w:val="36"/>
        </w:rPr>
      </w:pPr>
      <w:r>
        <w:rPr>
          <w:rFonts w:hint="eastAsia" w:eastAsia="黑体" w:cs="黑体"/>
          <w:sz w:val="32"/>
          <w:szCs w:val="36"/>
        </w:rPr>
        <w:t>七、财政拨款“三公”经费预算情况说明</w:t>
      </w:r>
    </w:p>
    <w:p w14:paraId="46AC0372">
      <w:pPr>
        <w:pStyle w:val="6"/>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_GB2312"/>
          <w:sz w:val="32"/>
          <w:szCs w:val="32"/>
        </w:rPr>
        <w:t>乌海市市场监督管理局（本级）单位2025年度一般公共预算拨款安排的三公经费预算支出3</w:t>
      </w:r>
      <w:r>
        <w:rPr>
          <w:rFonts w:eastAsia="仿宋_GB2312"/>
          <w:sz w:val="32"/>
          <w:szCs w:val="32"/>
        </w:rPr>
        <w:t>万元，其中因公出国（境）费支出</w:t>
      </w:r>
      <w:r>
        <w:rPr>
          <w:rFonts w:hint="eastAsia" w:ascii="仿宋_GB2312" w:hAnsi="仿宋_GB2312" w:eastAsia="仿宋_GB2312" w:cs="仿宋_GB2312"/>
          <w:sz w:val="32"/>
          <w:szCs w:val="32"/>
        </w:rPr>
        <w:t>0</w:t>
      </w:r>
      <w:r>
        <w:rPr>
          <w:rFonts w:eastAsia="仿宋_GB2312"/>
          <w:sz w:val="32"/>
          <w:szCs w:val="32"/>
        </w:rPr>
        <w:t>万元，占</w:t>
      </w:r>
      <w:r>
        <w:rPr>
          <w:rFonts w:hint="eastAsia" w:ascii="仿宋_GB2312" w:hAnsi="仿宋_GB2312" w:eastAsia="仿宋_GB2312" w:cs="仿宋_GB2312"/>
          <w:sz w:val="32"/>
          <w:szCs w:val="32"/>
        </w:rPr>
        <w:t>0</w:t>
      </w:r>
      <w:r>
        <w:rPr>
          <w:rFonts w:hint="eastAsia" w:ascii="仿宋_GB2312" w:hAnsi="仿宋_GB2312" w:eastAsia="仿宋_GB2312"/>
          <w:sz w:val="32"/>
          <w:szCs w:val="32"/>
        </w:rPr>
        <w:t>%</w:t>
      </w:r>
      <w:r>
        <w:rPr>
          <w:rFonts w:eastAsia="仿宋_GB2312"/>
          <w:sz w:val="32"/>
          <w:szCs w:val="32"/>
        </w:rPr>
        <w:t>；公务用车购置及运行维护费支出</w:t>
      </w:r>
      <w:r>
        <w:rPr>
          <w:rFonts w:hint="eastAsia" w:ascii="仿宋_GB2312" w:hAnsi="仿宋_GB2312" w:eastAsia="仿宋_GB2312" w:cs="仿宋_GB2312"/>
          <w:sz w:val="32"/>
          <w:szCs w:val="32"/>
        </w:rPr>
        <w:t>0.25</w:t>
      </w:r>
      <w:r>
        <w:rPr>
          <w:rFonts w:eastAsia="仿宋_GB2312"/>
          <w:sz w:val="32"/>
          <w:szCs w:val="32"/>
        </w:rPr>
        <w:t>万元，占</w:t>
      </w:r>
      <w:r>
        <w:rPr>
          <w:rFonts w:hint="eastAsia" w:ascii="仿宋_GB2312" w:hAnsi="仿宋_GB2312" w:eastAsia="仿宋_GB2312" w:cs="仿宋_GB2312"/>
          <w:sz w:val="32"/>
          <w:szCs w:val="32"/>
        </w:rPr>
        <w:t>8.33</w:t>
      </w:r>
      <w:r>
        <w:rPr>
          <w:rFonts w:hint="eastAsia" w:ascii="仿宋_GB2312" w:hAnsi="仿宋_GB2312" w:eastAsia="仿宋_GB2312"/>
          <w:sz w:val="32"/>
          <w:szCs w:val="32"/>
        </w:rPr>
        <w:t>%</w:t>
      </w:r>
      <w:r>
        <w:rPr>
          <w:rFonts w:eastAsia="仿宋_GB2312"/>
          <w:sz w:val="32"/>
          <w:szCs w:val="32"/>
        </w:rPr>
        <w:t>；公务接待费支出</w:t>
      </w:r>
      <w:r>
        <w:rPr>
          <w:rFonts w:hint="eastAsia" w:ascii="仿宋_GB2312" w:hAnsi="仿宋_GB2312" w:eastAsia="仿宋_GB2312" w:cs="仿宋_GB2312"/>
          <w:sz w:val="32"/>
          <w:szCs w:val="32"/>
        </w:rPr>
        <w:t>2.75</w:t>
      </w:r>
      <w:r>
        <w:rPr>
          <w:rFonts w:eastAsia="仿宋_GB2312"/>
          <w:sz w:val="32"/>
          <w:szCs w:val="32"/>
        </w:rPr>
        <w:t>万元，占</w:t>
      </w:r>
      <w:r>
        <w:rPr>
          <w:rFonts w:hint="eastAsia" w:ascii="仿宋_GB2312" w:hAnsi="仿宋_GB2312" w:eastAsia="仿宋_GB2312" w:cs="仿宋_GB2312"/>
          <w:sz w:val="32"/>
          <w:szCs w:val="32"/>
        </w:rPr>
        <w:t>91.67</w:t>
      </w:r>
      <w:r>
        <w:rPr>
          <w:rFonts w:hint="eastAsia" w:ascii="仿宋_GB2312" w:hAnsi="仿宋_GB2312" w:eastAsia="仿宋_GB2312"/>
          <w:sz w:val="32"/>
          <w:szCs w:val="32"/>
        </w:rPr>
        <w:t>%</w:t>
      </w:r>
      <w:r>
        <w:rPr>
          <w:rFonts w:eastAsia="仿宋_GB2312"/>
          <w:sz w:val="32"/>
          <w:szCs w:val="32"/>
        </w:rPr>
        <w:t>。具体情况如下：</w:t>
      </w:r>
    </w:p>
    <w:p w14:paraId="10B36CF4">
      <w:pPr>
        <w:spacing w:line="600" w:lineRule="exact"/>
        <w:ind w:left="29" w:right="96" w:firstLine="65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一般公共预算拨款安排的“三公”经费预算支出3万元，比上年预算增加0万元，增加0%；其中：</w:t>
      </w:r>
    </w:p>
    <w:p w14:paraId="1A5B7F95">
      <w:pPr>
        <w:pStyle w:val="6"/>
        <w:spacing w:after="0" w:line="600" w:lineRule="exact"/>
        <w:ind w:left="17" w:leftChars="8"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1．因公出国（境）费预算支出0万元，比上年预算增加0万元，主要原因本单位不存在此项内容。</w:t>
      </w:r>
    </w:p>
    <w:p w14:paraId="1E88E189">
      <w:pPr>
        <w:pStyle w:val="6"/>
        <w:tabs>
          <w:tab w:val="left" w:pos="2671"/>
          <w:tab w:val="left" w:pos="5000"/>
          <w:tab w:val="left" w:pos="6190"/>
        </w:tabs>
        <w:spacing w:after="0"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2．公务用车购置及运行维护费预算支出0.25万元。其中：</w:t>
      </w:r>
    </w:p>
    <w:p w14:paraId="4D8E7607">
      <w:pPr>
        <w:pStyle w:val="6"/>
        <w:spacing w:after="0"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（1）公务用车购置预算支出0万元，比上年预算增加0万元，主要原因本单位不存在此项内容。</w:t>
      </w:r>
    </w:p>
    <w:p w14:paraId="6CCCC836">
      <w:pPr>
        <w:pStyle w:val="6"/>
        <w:spacing w:after="0"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（2）公务用车运行维护费预算支出0.25万元，比上年预算增加0.05万元，主要原因我单位本年车辆保险等费用增加。</w:t>
      </w:r>
    </w:p>
    <w:p w14:paraId="48B7B291">
      <w:pPr>
        <w:pStyle w:val="6"/>
        <w:spacing w:after="0" w:line="600" w:lineRule="exact"/>
        <w:ind w:firstLine="640" w:firstLineChars="200"/>
        <w:rPr>
          <w:rFonts w:eastAsia="仿宋_GB2312"/>
          <w:sz w:val="32"/>
          <w:szCs w:val="32"/>
        </w:rPr>
      </w:pPr>
      <w:r>
        <w:rPr>
          <w:rFonts w:hint="eastAsia" w:ascii="仿宋_GB2312" w:hAnsi="仿宋_GB2312" w:eastAsia="仿宋_GB2312" w:cs="仿宋_GB2312"/>
          <w:kern w:val="2"/>
          <w:sz w:val="32"/>
          <w:szCs w:val="32"/>
          <w:lang w:val="en-US" w:eastAsia="zh-CN" w:bidi="ar-SA"/>
        </w:rPr>
        <w:t>3．公务接待费预算支出2.75万元，比上年预算减少0.05万元，主要原因本年缩减经费，公务接待费预算安排减少</w:t>
      </w:r>
      <w:r>
        <w:rPr>
          <w:rFonts w:eastAsia="仿宋_GB2312"/>
          <w:sz w:val="32"/>
          <w:szCs w:val="32"/>
        </w:rPr>
        <w:t>。</w:t>
      </w:r>
    </w:p>
    <w:p w14:paraId="05F964C1">
      <w:pPr>
        <w:spacing w:line="560" w:lineRule="exact"/>
        <w:ind w:firstLine="640" w:firstLineChars="200"/>
        <w:outlineLvl w:val="0"/>
        <w:rPr>
          <w:rFonts w:eastAsia="黑体" w:cs="黑体"/>
          <w:sz w:val="32"/>
          <w:szCs w:val="36"/>
        </w:rPr>
      </w:pPr>
      <w:r>
        <w:rPr>
          <w:rFonts w:hint="eastAsia" w:eastAsia="黑体" w:cs="黑体"/>
          <w:sz w:val="32"/>
          <w:szCs w:val="36"/>
        </w:rPr>
        <w:t>八、政府性基金预算财政拨款支出情况说明</w:t>
      </w:r>
    </w:p>
    <w:p w14:paraId="056F7A6B">
      <w:pPr>
        <w:pStyle w:val="6"/>
        <w:spacing w:after="0" w:line="600" w:lineRule="exact"/>
        <w:ind w:left="17" w:leftChars="8" w:firstLine="640" w:firstLineChars="200"/>
        <w:rPr>
          <w:rFonts w:eastAsia="仿宋_GB2312"/>
          <w:sz w:val="32"/>
          <w:szCs w:val="32"/>
        </w:rPr>
      </w:pPr>
      <w:r>
        <w:rPr>
          <w:rFonts w:hint="eastAsia" w:ascii="仿宋_GB2312" w:hAnsi="仿宋_GB2312" w:eastAsia="仿宋_GB2312" w:cs="仿宋_GB2312"/>
          <w:sz w:val="32"/>
          <w:szCs w:val="32"/>
        </w:rPr>
        <w:t>乌海市市场监督管理局（本级）单位2025年度政府性基金支出预算支出0万元。与上年相比增加0万元，增加0%。主要原因本单位无政府性基金预算支出。</w:t>
      </w:r>
    </w:p>
    <w:p w14:paraId="36FB5BBC">
      <w:pPr>
        <w:spacing w:line="560" w:lineRule="exact"/>
        <w:ind w:firstLine="640" w:firstLineChars="200"/>
        <w:outlineLvl w:val="0"/>
        <w:rPr>
          <w:rFonts w:eastAsia="黑体" w:cs="黑体"/>
          <w:sz w:val="32"/>
          <w:szCs w:val="36"/>
        </w:rPr>
      </w:pPr>
      <w:r>
        <w:rPr>
          <w:rFonts w:hint="eastAsia" w:eastAsia="黑体" w:cs="黑体"/>
          <w:sz w:val="32"/>
          <w:szCs w:val="36"/>
        </w:rPr>
        <w:t>九、国有资本经营预算拨款支出预算情况说明</w:t>
      </w:r>
    </w:p>
    <w:p w14:paraId="30238E89">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乌海市市场监督管理局（本级）单位2025年</w:t>
      </w:r>
      <w:r>
        <w:rPr>
          <w:rFonts w:hint="eastAsia" w:ascii="仿宋_GB2312" w:hAnsi="仿宋_GB2312" w:eastAsia="仿宋_GB2312" w:cs="仿宋_GB2312"/>
          <w:kern w:val="0"/>
          <w:sz w:val="32"/>
          <w:szCs w:val="32"/>
          <w:lang w:bidi="ar"/>
        </w:rPr>
        <w:t>国有资本经营预算拨款</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元，与上年比较,</w:t>
      </w:r>
      <w:r>
        <w:rPr>
          <w:rFonts w:hint="eastAsia" w:ascii="仿宋_GB2312" w:hAnsi="仿宋_GB2312" w:eastAsia="仿宋_GB2312" w:cs="仿宋_GB2312"/>
          <w:sz w:val="32"/>
          <w:szCs w:val="32"/>
        </w:rPr>
        <w:t>增加0</w:t>
      </w:r>
      <w:r>
        <w:rPr>
          <w:rFonts w:hint="eastAsia" w:ascii="仿宋_GB2312" w:hAnsi="仿宋_GB2312" w:eastAsia="仿宋_GB2312" w:cs="仿宋_GB2312"/>
          <w:kern w:val="0"/>
          <w:sz w:val="32"/>
          <w:szCs w:val="32"/>
          <w:lang w:bidi="ar"/>
        </w:rPr>
        <w:t>万元增长了</w:t>
      </w:r>
      <w:r>
        <w:rPr>
          <w:rFonts w:hint="eastAsia" w:ascii="仿宋_GB2312" w:hAnsi="仿宋_GB2312" w:eastAsia="仿宋_GB2312" w:cs="仿宋_GB2312"/>
          <w:sz w:val="32"/>
          <w:szCs w:val="32"/>
        </w:rPr>
        <w:t>0</w:t>
      </w:r>
      <w:r>
        <w:rPr>
          <w:rFonts w:hint="eastAsia" w:ascii="仿宋_GB2312" w:hAnsi="仿宋_GB2312" w:eastAsia="仿宋_GB2312" w:cs="仿宋_GB2312"/>
          <w:kern w:val="0"/>
          <w:sz w:val="32"/>
          <w:szCs w:val="32"/>
          <w:lang w:bidi="ar"/>
        </w:rPr>
        <w:t>%。</w:t>
      </w:r>
      <w:r>
        <w:rPr>
          <w:rFonts w:eastAsia="仿宋_GB2312"/>
          <w:sz w:val="32"/>
          <w:szCs w:val="32"/>
        </w:rPr>
        <w:t>主要原因</w:t>
      </w: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val="en-US" w:eastAsia="zh-CN"/>
        </w:rPr>
        <w:t>不存在此项内容</w:t>
      </w:r>
      <w:r>
        <w:rPr>
          <w:rFonts w:hint="eastAsia" w:ascii="仿宋_GB2312" w:hAnsi="仿宋_GB2312" w:eastAsia="仿宋_GB2312" w:cs="仿宋_GB2312"/>
          <w:kern w:val="0"/>
          <w:sz w:val="32"/>
          <w:szCs w:val="32"/>
          <w:lang w:bidi="ar"/>
        </w:rPr>
        <w:t>。</w:t>
      </w:r>
    </w:p>
    <w:p w14:paraId="161EDEA5">
      <w:pPr>
        <w:spacing w:line="560" w:lineRule="exact"/>
        <w:ind w:firstLine="640" w:firstLineChars="200"/>
        <w:outlineLvl w:val="0"/>
        <w:rPr>
          <w:rFonts w:eastAsia="黑体" w:cs="黑体"/>
          <w:sz w:val="32"/>
          <w:szCs w:val="36"/>
        </w:rPr>
      </w:pPr>
      <w:r>
        <w:rPr>
          <w:rFonts w:hint="eastAsia" w:eastAsia="黑体" w:cs="黑体"/>
          <w:sz w:val="32"/>
          <w:szCs w:val="36"/>
        </w:rPr>
        <w:t>十、项目支出预算情况说明</w:t>
      </w:r>
    </w:p>
    <w:p w14:paraId="48392A7B">
      <w:pPr>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乌海市市场监督管理局（本级）单位2025年</w:t>
      </w:r>
      <w:r>
        <w:rPr>
          <w:rFonts w:eastAsia="仿宋_GB2312"/>
          <w:sz w:val="32"/>
          <w:szCs w:val="32"/>
        </w:rPr>
        <w:t>度预算安排项目</w:t>
      </w:r>
      <w:r>
        <w:rPr>
          <w:rFonts w:hint="eastAsia" w:ascii="仿宋_GB2312" w:hAnsi="仿宋_GB2312" w:eastAsia="仿宋_GB2312" w:cs="仿宋_GB2312"/>
          <w:sz w:val="32"/>
          <w:szCs w:val="32"/>
        </w:rPr>
        <w:t>11</w:t>
      </w:r>
      <w:r>
        <w:rPr>
          <w:rFonts w:eastAsia="仿宋_GB2312"/>
          <w:sz w:val="32"/>
          <w:szCs w:val="32"/>
        </w:rPr>
        <w:t>个，项目预算总金额</w:t>
      </w:r>
      <w:r>
        <w:rPr>
          <w:rFonts w:hint="eastAsia" w:ascii="仿宋_GB2312" w:hAnsi="仿宋_GB2312" w:eastAsia="仿宋_GB2312" w:cs="仿宋_GB2312"/>
          <w:sz w:val="32"/>
          <w:szCs w:val="32"/>
        </w:rPr>
        <w:t>347.98</w:t>
      </w:r>
      <w:r>
        <w:rPr>
          <w:rFonts w:eastAsia="仿宋_GB2312"/>
          <w:sz w:val="32"/>
          <w:szCs w:val="32"/>
        </w:rPr>
        <w:t>万元。其中，财政本年拨款金额</w:t>
      </w:r>
      <w:r>
        <w:rPr>
          <w:rFonts w:hint="eastAsia" w:ascii="仿宋_GB2312" w:hAnsi="仿宋_GB2312" w:eastAsia="仿宋_GB2312" w:cs="仿宋_GB2312"/>
          <w:sz w:val="32"/>
          <w:szCs w:val="32"/>
        </w:rPr>
        <w:t>347.98</w:t>
      </w:r>
      <w:r>
        <w:rPr>
          <w:rFonts w:eastAsia="仿宋_GB2312"/>
          <w:sz w:val="32"/>
          <w:szCs w:val="32"/>
        </w:rPr>
        <w:t>万元，财政拨款结转结余</w:t>
      </w:r>
      <w:r>
        <w:rPr>
          <w:rFonts w:hint="eastAsia" w:ascii="仿宋_GB2312" w:hAnsi="仿宋_GB2312" w:eastAsia="仿宋_GB2312" w:cs="仿宋_GB2312"/>
          <w:sz w:val="32"/>
          <w:szCs w:val="32"/>
        </w:rPr>
        <w:t>0</w:t>
      </w:r>
      <w:r>
        <w:rPr>
          <w:rFonts w:eastAsia="仿宋_GB2312"/>
          <w:sz w:val="32"/>
          <w:szCs w:val="32"/>
        </w:rPr>
        <w:t>万元，财政专户管理资金</w:t>
      </w:r>
      <w:r>
        <w:rPr>
          <w:rFonts w:hint="eastAsia" w:ascii="仿宋_GB2312" w:hAnsi="仿宋_GB2312" w:eastAsia="仿宋_GB2312" w:cs="仿宋_GB2312"/>
          <w:sz w:val="32"/>
          <w:szCs w:val="32"/>
        </w:rPr>
        <w:t>0</w:t>
      </w:r>
      <w:r>
        <w:rPr>
          <w:rFonts w:eastAsia="仿宋_GB2312"/>
          <w:sz w:val="32"/>
          <w:szCs w:val="32"/>
        </w:rPr>
        <w:t>万元，单位资金</w:t>
      </w:r>
      <w:r>
        <w:rPr>
          <w:rFonts w:hint="eastAsia" w:ascii="仿宋_GB2312" w:hAnsi="仿宋_GB2312" w:eastAsia="仿宋_GB2312" w:cs="仿宋_GB2312"/>
          <w:sz w:val="32"/>
          <w:szCs w:val="32"/>
        </w:rPr>
        <w:t>0</w:t>
      </w:r>
      <w:r>
        <w:rPr>
          <w:rFonts w:eastAsia="仿宋_GB2312"/>
          <w:sz w:val="32"/>
          <w:szCs w:val="32"/>
        </w:rPr>
        <w:t>万元。</w:t>
      </w:r>
    </w:p>
    <w:p w14:paraId="3FF4DAE2">
      <w:pPr>
        <w:pStyle w:val="10"/>
        <w:rPr>
          <w:rFonts w:hint="eastAsia"/>
        </w:rPr>
      </w:pPr>
    </w:p>
    <w:p w14:paraId="70065120">
      <w:pPr>
        <w:widowControl/>
        <w:spacing w:line="560" w:lineRule="exact"/>
        <w:ind w:firstLine="723" w:firstLineChars="200"/>
        <w:jc w:val="center"/>
        <w:rPr>
          <w:rFonts w:ascii="仿宋_GB2312" w:eastAsia="仿宋_GB2312"/>
          <w:sz w:val="36"/>
          <w:szCs w:val="32"/>
        </w:rPr>
      </w:pPr>
      <w:r>
        <w:rPr>
          <w:rFonts w:hint="eastAsia" w:ascii="仿宋_GB2312" w:hAnsi="仿宋" w:eastAsia="仿宋_GB2312" w:cs="仿宋"/>
          <w:b/>
          <w:bCs/>
          <w:kern w:val="0"/>
          <w:sz w:val="36"/>
          <w:szCs w:val="32"/>
          <w:lang w:bidi="ar"/>
        </w:rPr>
        <w:t>第三部分 其他公开事项说明</w:t>
      </w:r>
    </w:p>
    <w:p w14:paraId="35A30EAA">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bidi="ar"/>
        </w:rPr>
        <w:t>一、机关运行经费安排情况说明</w:t>
      </w:r>
    </w:p>
    <w:p w14:paraId="5AD28C8D">
      <w:pPr>
        <w:widowControl/>
        <w:spacing w:line="560" w:lineRule="exact"/>
        <w:ind w:firstLine="640" w:firstLineChars="200"/>
        <w:jc w:val="left"/>
        <w:rPr>
          <w:rFonts w:eastAsia="仿宋_GB2312"/>
          <w:highlight w:val="yellow"/>
        </w:rPr>
      </w:pPr>
      <w:r>
        <w:rPr>
          <w:rFonts w:hint="eastAsia" w:ascii="仿宋_GB2312" w:hAnsi="仿宋" w:eastAsia="仿宋_GB2312" w:cs="仿宋"/>
          <w:kern w:val="0"/>
          <w:sz w:val="32"/>
          <w:szCs w:val="32"/>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p>
    <w:p w14:paraId="5C60FEB7">
      <w:pPr>
        <w:widowControl/>
        <w:spacing w:line="560" w:lineRule="exact"/>
        <w:ind w:firstLine="640" w:firstLineChars="200"/>
        <w:jc w:val="left"/>
        <w:rPr>
          <w:rFonts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2025年我局机关运行经费财政拨款预算</w:t>
      </w:r>
      <w:r>
        <w:rPr>
          <w:rFonts w:hint="eastAsia" w:ascii="仿宋_GB2312" w:hAnsi="仿宋_GB2312" w:eastAsia="仿宋_GB2312" w:cs="仿宋_GB2312"/>
          <w:sz w:val="32"/>
          <w:szCs w:val="32"/>
        </w:rPr>
        <w:t>159.19</w:t>
      </w:r>
      <w:r>
        <w:rPr>
          <w:rFonts w:hint="eastAsia" w:ascii="仿宋_GB2312" w:hAnsi="仿宋" w:eastAsia="仿宋_GB2312" w:cs="仿宋"/>
          <w:kern w:val="0"/>
          <w:sz w:val="32"/>
          <w:szCs w:val="32"/>
          <w:lang w:bidi="ar"/>
        </w:rPr>
        <w:t>万元，其中：</w:t>
      </w:r>
    </w:p>
    <w:p w14:paraId="7B262143">
      <w:pPr>
        <w:widowControl/>
        <w:spacing w:line="560" w:lineRule="exact"/>
        <w:ind w:firstLine="640" w:firstLineChars="200"/>
        <w:jc w:val="left"/>
        <w:rPr>
          <w:rFonts w:ascii="仿宋_GB2312" w:eastAsia="仿宋_GB2312"/>
          <w:sz w:val="32"/>
          <w:szCs w:val="32"/>
        </w:rPr>
      </w:pPr>
      <w:r>
        <w:rPr>
          <w:rFonts w:hint="eastAsia" w:ascii="仿宋_GB2312" w:hAnsi="仿宋" w:eastAsia="仿宋_GB2312" w:cs="仿宋"/>
          <w:kern w:val="0"/>
          <w:sz w:val="32"/>
          <w:szCs w:val="32"/>
          <w:lang w:bidi="ar"/>
        </w:rPr>
        <w:t>302商品和服务支出类：</w:t>
      </w:r>
      <w:r>
        <w:rPr>
          <w:rFonts w:hint="eastAsia" w:ascii="仿宋_GB2312" w:hAnsi="仿宋_GB2312" w:eastAsia="仿宋_GB2312" w:cs="仿宋_GB2312"/>
          <w:sz w:val="32"/>
          <w:szCs w:val="32"/>
        </w:rPr>
        <w:t>办公费8.09万元、手续费0.2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万元、水费1万元、电费10万元、邮电费2.5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万元、差旅费3万元、维修（护）费4万元、租赁费1万元、培训费21.12万元、公务接待费2.75万元、劳务费1.5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万元、工会经费16.89万元、福利费23.04万元、公务用车运行维护费0.25万元、其他交通费用59.94万元、其他商品和服务支出3.91万元。</w:t>
      </w:r>
    </w:p>
    <w:p w14:paraId="65415587">
      <w:pPr>
        <w:widowControl/>
        <w:spacing w:line="560" w:lineRule="exact"/>
        <w:ind w:firstLine="640" w:firstLineChars="200"/>
        <w:jc w:val="left"/>
        <w:rPr>
          <w:rFonts w:ascii="仿宋_GB2312" w:eastAsia="仿宋_GB2312"/>
          <w:sz w:val="32"/>
          <w:szCs w:val="32"/>
          <w:highlight w:val="yellow"/>
        </w:rPr>
      </w:pPr>
      <w:r>
        <w:rPr>
          <w:rFonts w:hint="eastAsia" w:ascii="仿宋_GB2312" w:hAnsi="仿宋" w:eastAsia="仿宋_GB2312" w:cs="仿宋"/>
          <w:kern w:val="0"/>
          <w:sz w:val="32"/>
          <w:szCs w:val="32"/>
          <w:lang w:bidi="ar"/>
        </w:rPr>
        <w:t>2025年机关运行经费比上年</w:t>
      </w:r>
      <w:r>
        <w:rPr>
          <w:rFonts w:hint="eastAsia" w:ascii="仿宋_GB2312" w:hAnsi="仿宋_GB2312" w:eastAsia="仿宋_GB2312" w:cs="仿宋_GB2312"/>
          <w:sz w:val="32"/>
          <w:szCs w:val="32"/>
        </w:rPr>
        <w:t>减少4.75</w:t>
      </w:r>
      <w:r>
        <w:rPr>
          <w:rFonts w:hint="eastAsia" w:ascii="仿宋_GB2312" w:hAnsi="仿宋" w:eastAsia="仿宋_GB2312" w:cs="仿宋"/>
          <w:kern w:val="0"/>
          <w:sz w:val="32"/>
          <w:szCs w:val="32"/>
          <w:lang w:bidi="ar"/>
        </w:rPr>
        <w:t>万元，</w:t>
      </w:r>
      <w:r>
        <w:rPr>
          <w:rFonts w:hint="eastAsia" w:ascii="仿宋_GB2312" w:hAnsi="仿宋_GB2312" w:eastAsia="仿宋_GB2312" w:cs="仿宋_GB2312"/>
          <w:sz w:val="32"/>
          <w:szCs w:val="32"/>
        </w:rPr>
        <w:t>减少2.9</w:t>
      </w:r>
      <w:r>
        <w:rPr>
          <w:rFonts w:hint="eastAsia" w:ascii="仿宋_GB2312" w:hAnsi="仿宋_GB2312" w:eastAsia="仿宋_GB2312" w:cs="仿宋_GB2312"/>
          <w:sz w:val="32"/>
          <w:szCs w:val="32"/>
          <w:lang w:val="en-US" w:eastAsia="zh-CN"/>
        </w:rPr>
        <w:t>0</w:t>
      </w:r>
      <w:r>
        <w:rPr>
          <w:rFonts w:hint="eastAsia" w:ascii="仿宋_GB2312" w:hAnsi="仿宋" w:eastAsia="仿宋_GB2312" w:cs="仿宋"/>
          <w:kern w:val="0"/>
          <w:sz w:val="32"/>
          <w:szCs w:val="32"/>
          <w:lang w:bidi="ar"/>
        </w:rPr>
        <w:t>%，</w:t>
      </w:r>
      <w:r>
        <w:rPr>
          <w:rFonts w:hint="eastAsia" w:ascii="仿宋_GB2312" w:hAnsi="仿宋_GB2312" w:eastAsia="仿宋_GB2312" w:cs="仿宋_GB2312"/>
          <w:sz w:val="32"/>
          <w:szCs w:val="32"/>
        </w:rPr>
        <w:t>减少</w:t>
      </w:r>
      <w:r>
        <w:rPr>
          <w:rFonts w:hint="eastAsia" w:ascii="仿宋_GB2312" w:hAnsi="仿宋" w:eastAsia="仿宋_GB2312" w:cs="仿宋"/>
          <w:kern w:val="0"/>
          <w:sz w:val="32"/>
          <w:szCs w:val="32"/>
          <w:lang w:bidi="ar"/>
        </w:rPr>
        <w:t>主要原因</w:t>
      </w:r>
      <w:r>
        <w:rPr>
          <w:rFonts w:hint="eastAsia" w:ascii="仿宋" w:hAnsi="仿宋" w:eastAsia="仿宋" w:cs="仿宋"/>
          <w:sz w:val="32"/>
          <w:szCs w:val="32"/>
        </w:rPr>
        <w:t>是</w:t>
      </w:r>
      <w:r>
        <w:rPr>
          <w:rFonts w:hint="eastAsia" w:ascii="仿宋_GB2312" w:hAnsi="仿宋_GB2312" w:eastAsia="仿宋_GB2312" w:cs="仿宋_GB2312"/>
          <w:sz w:val="32"/>
          <w:szCs w:val="32"/>
        </w:rPr>
        <w:t>本年度我单位</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名行政工勤人员，公用经费减少</w:t>
      </w:r>
      <w:r>
        <w:rPr>
          <w:rFonts w:hint="eastAsia" w:ascii="仿宋_GB2312" w:hAnsi="仿宋" w:eastAsia="仿宋_GB2312" w:cs="仿宋"/>
          <w:kern w:val="0"/>
          <w:sz w:val="32"/>
          <w:szCs w:val="32"/>
          <w:lang w:bidi="ar"/>
        </w:rPr>
        <w:t>。</w:t>
      </w:r>
    </w:p>
    <w:p w14:paraId="6ED47C2A">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bidi="ar"/>
        </w:rPr>
        <w:t>二、事业运行经费安排情况说明</w:t>
      </w:r>
    </w:p>
    <w:p w14:paraId="3208DAA3">
      <w:pPr>
        <w:widowControl/>
        <w:spacing w:line="560" w:lineRule="exact"/>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事业运行经费，是指各事业单位的公用经费，包括办公及印刷费、邮电费、差旅费、会议费、福利费、日常维修费、专业材料及一般设备购置费、办公用房水电费、办公用房取暖费、办公用房物业管理费、公务用车运行维护费以及其他费用。</w:t>
      </w:r>
    </w:p>
    <w:p w14:paraId="798CDCC0">
      <w:pPr>
        <w:pStyle w:val="10"/>
        <w:rPr>
          <w:rFonts w:hint="default" w:eastAsia="仿宋_GB2312"/>
          <w:lang w:val="en-US" w:eastAsia="zh-CN"/>
        </w:rPr>
      </w:pPr>
      <w:r>
        <w:rPr>
          <w:rFonts w:hint="eastAsia" w:ascii="仿宋_GB2312" w:hAnsi="仿宋" w:eastAsia="仿宋_GB2312" w:cs="仿宋"/>
          <w:kern w:val="0"/>
          <w:sz w:val="32"/>
          <w:szCs w:val="32"/>
          <w:lang w:val="en-US" w:eastAsia="zh-CN" w:bidi="ar"/>
        </w:rPr>
        <w:t>我单位为行政单位，无事业运行经费。</w:t>
      </w:r>
    </w:p>
    <w:p w14:paraId="570499E0">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val="en-US" w:eastAsia="zh-CN" w:bidi="ar"/>
        </w:rPr>
        <w:t>三</w:t>
      </w:r>
      <w:r>
        <w:rPr>
          <w:rFonts w:hint="eastAsia" w:ascii="黑体" w:hAnsi="黑体" w:eastAsia="黑体" w:cs="仿宋"/>
          <w:bCs/>
          <w:kern w:val="0"/>
          <w:sz w:val="32"/>
          <w:szCs w:val="32"/>
          <w:lang w:bidi="ar"/>
        </w:rPr>
        <w:t>、政府采购支出预算情况说明</w:t>
      </w:r>
    </w:p>
    <w:p w14:paraId="3F9A805C">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2025年政府采购预算</w:t>
      </w:r>
      <w:r>
        <w:rPr>
          <w:rFonts w:hint="eastAsia" w:ascii="仿宋_GB2312" w:hAnsi="仿宋_GB2312" w:eastAsia="仿宋_GB2312" w:cs="仿宋_GB2312"/>
          <w:sz w:val="32"/>
          <w:szCs w:val="32"/>
        </w:rPr>
        <w:t>19.08</w:t>
      </w:r>
      <w:r>
        <w:rPr>
          <w:rFonts w:hint="eastAsia" w:ascii="仿宋_GB2312" w:hAnsi="仿宋_GB2312" w:eastAsia="仿宋_GB2312" w:cs="仿宋_GB2312"/>
          <w:kern w:val="0"/>
          <w:sz w:val="32"/>
          <w:szCs w:val="32"/>
          <w:lang w:bidi="ar"/>
        </w:rPr>
        <w:t>万元，较上年</w:t>
      </w:r>
      <w:r>
        <w:rPr>
          <w:rFonts w:hint="eastAsia" w:ascii="仿宋_GB2312" w:hAnsi="仿宋_GB2312" w:eastAsia="仿宋_GB2312" w:cs="仿宋_GB2312"/>
          <w:sz w:val="32"/>
          <w:szCs w:val="32"/>
        </w:rPr>
        <w:t>减少0.42</w:t>
      </w:r>
      <w:r>
        <w:rPr>
          <w:rFonts w:hint="eastAsia" w:ascii="仿宋_GB2312" w:hAnsi="仿宋_GB2312" w:eastAsia="仿宋_GB2312" w:cs="仿宋_GB2312"/>
          <w:kern w:val="0"/>
          <w:sz w:val="32"/>
          <w:szCs w:val="32"/>
          <w:lang w:bidi="ar"/>
        </w:rPr>
        <w:t>万元，</w:t>
      </w:r>
      <w:r>
        <w:rPr>
          <w:rFonts w:hint="eastAsia" w:ascii="仿宋_GB2312" w:hAnsi="仿宋_GB2312" w:eastAsia="仿宋_GB2312" w:cs="仿宋_GB2312"/>
          <w:sz w:val="32"/>
          <w:szCs w:val="32"/>
        </w:rPr>
        <w:t>减少2.15</w:t>
      </w:r>
      <w:r>
        <w:rPr>
          <w:rFonts w:hint="eastAsia" w:ascii="仿宋_GB2312" w:hAnsi="仿宋_GB2312" w:eastAsia="仿宋_GB2312" w:cs="仿宋_GB2312"/>
          <w:kern w:val="0"/>
          <w:sz w:val="32"/>
          <w:szCs w:val="32"/>
          <w:lang w:bidi="ar"/>
        </w:rPr>
        <w:t>%。资金来源为财政拨款（或其他资金），其中：</w:t>
      </w:r>
    </w:p>
    <w:p w14:paraId="6A07821A">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1.货物类预算</w:t>
      </w:r>
      <w:r>
        <w:rPr>
          <w:rFonts w:hint="eastAsia" w:ascii="仿宋_GB2312" w:hAnsi="仿宋_GB2312" w:eastAsia="仿宋_GB2312" w:cs="仿宋_GB2312"/>
          <w:kern w:val="0"/>
          <w:sz w:val="32"/>
          <w:szCs w:val="32"/>
          <w:lang w:val="en-US" w:eastAsia="zh-CN" w:bidi="ar"/>
        </w:rPr>
        <w:t>19</w:t>
      </w:r>
      <w:r>
        <w:rPr>
          <w:rFonts w:hint="eastAsia" w:ascii="仿宋_GB2312" w:hAnsi="仿宋_GB2312" w:eastAsia="仿宋_GB2312" w:cs="仿宋_GB2312"/>
          <w:kern w:val="0"/>
          <w:sz w:val="32"/>
          <w:szCs w:val="32"/>
          <w:lang w:bidi="ar"/>
        </w:rPr>
        <w:t>万元，占比99.58%，较上年增加15.5万元，增加442.86%，增加原因单位本年度主要用于购买纸制品</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本年度单位将其他印刷服务转移到货物类预算支出的购买纸制品中。</w:t>
      </w:r>
    </w:p>
    <w:p w14:paraId="1AE818FD">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2.工程类预算0万元，占比0%，较上年增加0万元，增加0%，原因是</w:t>
      </w:r>
      <w:r>
        <w:rPr>
          <w:rFonts w:hint="eastAsia" w:ascii="仿宋_GB2312" w:hAnsi="仿宋_GB2312" w:eastAsia="仿宋_GB2312" w:cs="仿宋_GB2312"/>
          <w:kern w:val="0"/>
          <w:sz w:val="32"/>
          <w:szCs w:val="32"/>
          <w:lang w:val="en-US" w:eastAsia="zh-CN" w:bidi="ar"/>
        </w:rPr>
        <w:t>我单位不存在此项内容</w:t>
      </w:r>
      <w:r>
        <w:rPr>
          <w:rFonts w:hint="eastAsia" w:ascii="仿宋_GB2312" w:hAnsi="仿宋_GB2312" w:eastAsia="仿宋_GB2312" w:cs="仿宋_GB2312"/>
          <w:kern w:val="0"/>
          <w:sz w:val="32"/>
          <w:szCs w:val="32"/>
          <w:lang w:bidi="ar"/>
        </w:rPr>
        <w:t>。</w:t>
      </w:r>
    </w:p>
    <w:p w14:paraId="742B04D0">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3.服务类预算</w:t>
      </w:r>
      <w:bookmarkStart w:id="0" w:name="_GoBack"/>
      <w:bookmarkEnd w:id="0"/>
      <w:r>
        <w:rPr>
          <w:rFonts w:hint="eastAsia" w:ascii="仿宋_GB2312" w:hAnsi="仿宋_GB2312" w:eastAsia="仿宋_GB2312" w:cs="仿宋_GB2312"/>
          <w:kern w:val="0"/>
          <w:sz w:val="32"/>
          <w:szCs w:val="32"/>
          <w:lang w:bidi="ar"/>
        </w:rPr>
        <w:t>0</w:t>
      </w:r>
      <w:r>
        <w:rPr>
          <w:rFonts w:hint="eastAsia" w:ascii="仿宋_GB2312" w:hAnsi="仿宋_GB2312" w:eastAsia="仿宋_GB2312" w:cs="仿宋_GB2312"/>
          <w:kern w:val="0"/>
          <w:sz w:val="32"/>
          <w:szCs w:val="32"/>
          <w:lang w:val="en-US" w:eastAsia="zh-CN" w:bidi="ar"/>
        </w:rPr>
        <w:t>.08</w:t>
      </w:r>
      <w:r>
        <w:rPr>
          <w:rFonts w:hint="eastAsia" w:ascii="仿宋_GB2312" w:hAnsi="仿宋_GB2312" w:eastAsia="仿宋_GB2312" w:cs="仿宋_GB2312"/>
          <w:kern w:val="0"/>
          <w:sz w:val="32"/>
          <w:szCs w:val="32"/>
          <w:lang w:bidi="ar"/>
        </w:rPr>
        <w:t>万元，占比0.42%，较上年减少15.02万元，减少93.88%，减少原因本年度单位将其他印刷服务转移到货物类预算支出的购买纸制品中。</w:t>
      </w:r>
    </w:p>
    <w:p w14:paraId="0BEA5454">
      <w:pPr>
        <w:widowControl/>
        <w:spacing w:line="560" w:lineRule="exact"/>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bidi="ar"/>
        </w:rPr>
        <w:t>编制政府购买服务项目</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项，预算为</w:t>
      </w:r>
      <w:r>
        <w:rPr>
          <w:rFonts w:hint="eastAsia" w:ascii="仿宋_GB2312" w:hAnsi="仿宋_GB2312" w:eastAsia="仿宋_GB2312" w:cs="仿宋_GB2312"/>
          <w:kern w:val="0"/>
          <w:sz w:val="32"/>
          <w:szCs w:val="32"/>
          <w:lang w:val="en-US" w:eastAsia="zh-CN" w:bidi="ar"/>
        </w:rPr>
        <w:t>0.08</w:t>
      </w:r>
      <w:r>
        <w:rPr>
          <w:rFonts w:hint="eastAsia" w:ascii="仿宋_GB2312" w:hAnsi="仿宋_GB2312" w:eastAsia="仿宋_GB2312" w:cs="仿宋_GB2312"/>
          <w:kern w:val="0"/>
          <w:sz w:val="32"/>
          <w:szCs w:val="32"/>
          <w:lang w:bidi="ar"/>
        </w:rPr>
        <w:t>万元，服务类型为车辆维修和保养服务，涉及预算单位</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家，资金来源为财政拨款（或其他资金）</w:t>
      </w:r>
      <w:r>
        <w:rPr>
          <w:rFonts w:hint="eastAsia" w:ascii="仿宋_GB2312" w:hAnsi="仿宋_GB2312" w:eastAsia="仿宋_GB2312" w:cs="仿宋_GB2312"/>
          <w:kern w:val="0"/>
          <w:sz w:val="32"/>
          <w:szCs w:val="32"/>
          <w:lang w:eastAsia="zh-CN" w:bidi="ar"/>
        </w:rPr>
        <w:t>。</w:t>
      </w:r>
    </w:p>
    <w:p w14:paraId="7369D4CF">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val="en-US" w:eastAsia="zh-CN" w:bidi="ar"/>
        </w:rPr>
        <w:t>四</w:t>
      </w:r>
      <w:r>
        <w:rPr>
          <w:rFonts w:hint="eastAsia" w:ascii="黑体" w:hAnsi="黑体" w:eastAsia="黑体" w:cs="仿宋"/>
          <w:bCs/>
          <w:kern w:val="0"/>
          <w:sz w:val="32"/>
          <w:szCs w:val="32"/>
          <w:lang w:bidi="ar"/>
        </w:rPr>
        <w:t>、国有资产占有使用情况说明</w:t>
      </w:r>
    </w:p>
    <w:p w14:paraId="5A0F5277">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1.2025年公务用车及大型设备情况。</w:t>
      </w:r>
    </w:p>
    <w:p w14:paraId="05F51F79">
      <w:pPr>
        <w:widowControl/>
        <w:spacing w:line="560" w:lineRule="exact"/>
        <w:ind w:firstLine="640" w:firstLineChars="200"/>
        <w:jc w:val="left"/>
        <w:rPr>
          <w:rFonts w:hint="eastAsia" w:ascii="仿宋_GB2312" w:eastAsia="仿宋_GB2312"/>
          <w:sz w:val="32"/>
          <w:szCs w:val="32"/>
          <w:highlight w:val="yellow"/>
          <w:lang w:eastAsia="zh-CN"/>
        </w:rPr>
      </w:pPr>
      <w:r>
        <w:rPr>
          <w:rFonts w:hint="eastAsia" w:ascii="仿宋_GB2312" w:hAnsi="仿宋" w:eastAsia="仿宋_GB2312" w:cs="仿宋"/>
          <w:kern w:val="0"/>
          <w:sz w:val="32"/>
          <w:szCs w:val="32"/>
          <w:lang w:bidi="ar"/>
        </w:rPr>
        <w:t>截至2024年末，共有车辆1辆，其中特种专业技术用车1辆</w:t>
      </w:r>
      <w:r>
        <w:rPr>
          <w:rFonts w:hint="eastAsia" w:ascii="仿宋_GB2312" w:hAnsi="仿宋" w:eastAsia="仿宋_GB2312" w:cs="仿宋"/>
          <w:kern w:val="0"/>
          <w:sz w:val="32"/>
          <w:szCs w:val="32"/>
          <w:lang w:eastAsia="zh-CN" w:bidi="ar"/>
        </w:rPr>
        <w:t>，</w:t>
      </w:r>
      <w:r>
        <w:rPr>
          <w:rFonts w:hint="eastAsia" w:ascii="仿宋_GB2312" w:hAnsi="仿宋" w:eastAsia="仿宋_GB2312" w:cs="仿宋"/>
          <w:kern w:val="0"/>
          <w:sz w:val="32"/>
          <w:szCs w:val="32"/>
          <w:lang w:bidi="ar"/>
        </w:rPr>
        <w:t>主要用于市场监管执法检查和食品药品快速检测</w:t>
      </w:r>
      <w:r>
        <w:rPr>
          <w:rFonts w:hint="eastAsia" w:ascii="仿宋_GB2312" w:hAnsi="仿宋" w:eastAsia="仿宋_GB2312" w:cs="仿宋"/>
          <w:kern w:val="0"/>
          <w:sz w:val="32"/>
          <w:szCs w:val="32"/>
          <w:lang w:eastAsia="zh-CN" w:bidi="ar"/>
        </w:rPr>
        <w:t>。</w:t>
      </w:r>
    </w:p>
    <w:p w14:paraId="31439802">
      <w:pPr>
        <w:widowControl/>
        <w:spacing w:line="560" w:lineRule="exact"/>
        <w:ind w:firstLine="640" w:firstLineChars="200"/>
        <w:jc w:val="left"/>
        <w:rPr>
          <w:rFonts w:ascii="仿宋_GB2312" w:hAnsi="仿宋" w:eastAsia="仿宋_GB2312" w:cs="仿宋"/>
          <w:kern w:val="0"/>
          <w:sz w:val="32"/>
          <w:szCs w:val="32"/>
          <w:lang w:bidi="ar"/>
        </w:rPr>
      </w:pPr>
      <w:r>
        <w:rPr>
          <w:rFonts w:hint="eastAsia" w:eastAsia="仿宋_GB2312"/>
          <w:sz w:val="32"/>
          <w:szCs w:val="32"/>
        </w:rPr>
        <w:t>单价</w:t>
      </w:r>
      <w:r>
        <w:rPr>
          <w:rFonts w:hint="eastAsia" w:ascii="仿宋_GB2312" w:hAnsi="仿宋" w:eastAsia="仿宋_GB2312" w:cs="仿宋"/>
          <w:kern w:val="0"/>
          <w:sz w:val="32"/>
          <w:szCs w:val="32"/>
          <w:lang w:bidi="ar"/>
        </w:rPr>
        <w:t>50万元（含）以上的通用设备0台（套），单价100万元（含）以上的专用设备0台（套）</w:t>
      </w:r>
      <w:r>
        <w:rPr>
          <w:rFonts w:hint="eastAsia" w:eastAsia="仿宋_GB2312"/>
          <w:sz w:val="32"/>
          <w:szCs w:val="32"/>
        </w:rPr>
        <w:t>。</w:t>
      </w:r>
    </w:p>
    <w:p w14:paraId="13BD949B">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2.2025年房屋建筑物情况。</w:t>
      </w:r>
    </w:p>
    <w:p w14:paraId="590E6799">
      <w:pPr>
        <w:widowControl/>
        <w:spacing w:line="560" w:lineRule="exact"/>
        <w:ind w:firstLine="640" w:firstLineChars="200"/>
        <w:jc w:val="left"/>
        <w:rPr>
          <w:rFonts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房屋建筑面积59,245.82平方米，其中办公用房57,093.82平方米、业务用房2,150方米、其他（不含构筑物）0平方米，较上年增加0平方米，增加原因与上年保持一致</w:t>
      </w:r>
      <w:r>
        <w:rPr>
          <w:rFonts w:hint="eastAsia" w:ascii="仿宋_GB2312" w:hAnsi="仿宋" w:eastAsia="仿宋_GB2312" w:cs="仿宋"/>
          <w:kern w:val="0"/>
          <w:sz w:val="32"/>
          <w:szCs w:val="32"/>
          <w:lang w:eastAsia="zh-CN" w:bidi="ar"/>
        </w:rPr>
        <w:t>，</w:t>
      </w:r>
      <w:r>
        <w:rPr>
          <w:rFonts w:hint="eastAsia" w:ascii="仿宋_GB2312" w:hAnsi="仿宋" w:eastAsia="仿宋_GB2312" w:cs="仿宋"/>
          <w:kern w:val="0"/>
          <w:sz w:val="32"/>
          <w:szCs w:val="32"/>
          <w:lang w:val="en-US" w:eastAsia="zh-CN" w:bidi="ar"/>
        </w:rPr>
        <w:t>无变动</w:t>
      </w:r>
      <w:r>
        <w:rPr>
          <w:rFonts w:hint="eastAsia" w:ascii="仿宋_GB2312" w:hAnsi="仿宋" w:eastAsia="仿宋_GB2312" w:cs="仿宋"/>
          <w:kern w:val="0"/>
          <w:sz w:val="32"/>
          <w:szCs w:val="32"/>
          <w:lang w:bidi="ar"/>
        </w:rPr>
        <w:t>。</w:t>
      </w:r>
    </w:p>
    <w:p w14:paraId="255EEF7B">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val="en-US" w:eastAsia="zh-CN" w:bidi="ar"/>
        </w:rPr>
        <w:t>五</w:t>
      </w:r>
      <w:r>
        <w:rPr>
          <w:rFonts w:hint="eastAsia" w:ascii="黑体" w:hAnsi="黑体" w:eastAsia="黑体" w:cs="仿宋"/>
          <w:bCs/>
          <w:kern w:val="0"/>
          <w:sz w:val="32"/>
          <w:szCs w:val="32"/>
          <w:lang w:bidi="ar"/>
        </w:rPr>
        <w:t>、</w:t>
      </w:r>
      <w:r>
        <w:rPr>
          <w:rFonts w:hint="eastAsia" w:ascii="黑体" w:hAnsi="黑体" w:eastAsia="黑体" w:cs="仿宋"/>
          <w:bCs/>
          <w:kern w:val="0"/>
          <w:sz w:val="32"/>
          <w:szCs w:val="32"/>
          <w:lang w:val="en-US" w:eastAsia="zh-CN" w:bidi="ar"/>
        </w:rPr>
        <w:t>单位</w:t>
      </w:r>
      <w:r>
        <w:rPr>
          <w:rFonts w:hint="eastAsia" w:ascii="黑体" w:hAnsi="黑体" w:eastAsia="黑体" w:cs="仿宋"/>
          <w:bCs/>
          <w:kern w:val="0"/>
          <w:sz w:val="32"/>
          <w:szCs w:val="32"/>
          <w:lang w:bidi="ar"/>
        </w:rPr>
        <w:t>组织征收收入计划</w:t>
      </w:r>
    </w:p>
    <w:p w14:paraId="507277A2">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2025年乌海市市场监督管理局（本级）</w:t>
      </w:r>
      <w:r>
        <w:rPr>
          <w:rFonts w:hint="eastAsia" w:ascii="仿宋_GB2312" w:hAnsi="仿宋_GB2312" w:eastAsia="仿宋_GB2312" w:cs="仿宋_GB2312"/>
          <w:kern w:val="0"/>
          <w:sz w:val="32"/>
          <w:szCs w:val="32"/>
          <w:lang w:val="en-US" w:eastAsia="zh-CN" w:bidi="ar"/>
        </w:rPr>
        <w:t>单位</w:t>
      </w:r>
      <w:r>
        <w:rPr>
          <w:rFonts w:hint="eastAsia" w:ascii="仿宋_GB2312" w:hAnsi="仿宋_GB2312" w:eastAsia="仿宋_GB2312" w:cs="仿宋_GB2312"/>
          <w:kern w:val="0"/>
          <w:sz w:val="32"/>
          <w:szCs w:val="32"/>
          <w:lang w:bidi="ar"/>
        </w:rPr>
        <w:t>组织征收收入计划0万元，全部纳入预算管理。其中：非税收费项目为0万元。</w:t>
      </w:r>
    </w:p>
    <w:p w14:paraId="5F0F541C">
      <w:pPr>
        <w:widowControl/>
        <w:spacing w:line="560" w:lineRule="exact"/>
        <w:ind w:firstLine="640" w:firstLineChars="200"/>
        <w:jc w:val="left"/>
        <w:rPr>
          <w:rFonts w:ascii="黑体" w:hAnsi="黑体" w:eastAsia="黑体"/>
          <w:sz w:val="32"/>
          <w:szCs w:val="32"/>
        </w:rPr>
      </w:pPr>
      <w:r>
        <w:rPr>
          <w:rFonts w:hint="eastAsia" w:ascii="黑体" w:hAnsi="黑体" w:eastAsia="黑体" w:cs="仿宋"/>
          <w:bCs/>
          <w:kern w:val="0"/>
          <w:sz w:val="32"/>
          <w:szCs w:val="32"/>
          <w:lang w:val="en-US" w:eastAsia="zh-CN" w:bidi="ar"/>
        </w:rPr>
        <w:t>六</w:t>
      </w:r>
      <w:r>
        <w:rPr>
          <w:rFonts w:hint="eastAsia" w:ascii="黑体" w:hAnsi="黑体" w:eastAsia="黑体" w:cs="仿宋"/>
          <w:bCs/>
          <w:kern w:val="0"/>
          <w:sz w:val="32"/>
          <w:szCs w:val="32"/>
          <w:lang w:bidi="ar"/>
        </w:rPr>
        <w:t>、绩效目标设置情况说明</w:t>
      </w:r>
    </w:p>
    <w:p w14:paraId="6EE223D4">
      <w:pPr>
        <w:widowControl/>
        <w:spacing w:line="560" w:lineRule="exact"/>
        <w:ind w:firstLine="640" w:firstLineChars="200"/>
        <w:jc w:val="left"/>
        <w:rPr>
          <w:rFonts w:ascii="仿宋_GB2312" w:hAnsi="仿宋" w:eastAsia="仿宋_GB2312" w:cs="仿宋"/>
          <w:b/>
          <w:bCs/>
          <w:kern w:val="0"/>
          <w:sz w:val="32"/>
          <w:szCs w:val="32"/>
          <w:lang w:bidi="ar"/>
        </w:rPr>
      </w:pPr>
      <w:r>
        <w:rPr>
          <w:rFonts w:hint="eastAsia" w:ascii="仿宋_GB2312" w:hAnsi="仿宋_GB2312" w:eastAsia="仿宋_GB2312" w:cs="仿宋"/>
          <w:sz w:val="32"/>
          <w:szCs w:val="32"/>
        </w:rPr>
        <w:t>乌海市市场监督管理局（本级）单位2025</w:t>
      </w:r>
      <w:r>
        <w:rPr>
          <w:rFonts w:eastAsia="仿宋_GB2312"/>
          <w:sz w:val="32"/>
          <w:szCs w:val="32"/>
        </w:rPr>
        <w:t>年度</w:t>
      </w:r>
      <w:r>
        <w:rPr>
          <w:rFonts w:hint="eastAsia" w:eastAsia="仿宋_GB2312"/>
          <w:sz w:val="32"/>
          <w:szCs w:val="32"/>
        </w:rPr>
        <w:t>填报绩效目标的预算项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个，公开绩效目标11个，涉密不进行公开的项目0个</w:t>
      </w:r>
      <w:r>
        <w:rPr>
          <w:rFonts w:hint="eastAsia" w:ascii="仿宋_GB2312" w:hAnsi="仿宋" w:eastAsia="仿宋_GB2312" w:cs="仿宋"/>
          <w:kern w:val="0"/>
          <w:sz w:val="32"/>
          <w:szCs w:val="32"/>
          <w:lang w:bidi="ar"/>
        </w:rPr>
        <w:t>，公开项目占全部预算项目的100%。公开填报绩效目标的项目支出预算347.98万元，占全部项目支出预算的100%。</w:t>
      </w:r>
    </w:p>
    <w:p w14:paraId="03722883">
      <w:pPr>
        <w:widowControl/>
        <w:spacing w:line="560" w:lineRule="exact"/>
        <w:ind w:firstLine="723" w:firstLineChars="200"/>
        <w:jc w:val="center"/>
        <w:rPr>
          <w:rFonts w:ascii="仿宋_GB2312" w:eastAsia="仿宋_GB2312"/>
          <w:sz w:val="36"/>
          <w:szCs w:val="32"/>
        </w:rPr>
      </w:pPr>
      <w:r>
        <w:rPr>
          <w:rFonts w:hint="eastAsia" w:ascii="仿宋_GB2312" w:hAnsi="仿宋" w:eastAsia="仿宋_GB2312" w:cs="仿宋"/>
          <w:b/>
          <w:bCs/>
          <w:kern w:val="0"/>
          <w:sz w:val="36"/>
          <w:szCs w:val="32"/>
          <w:lang w:bidi="ar"/>
        </w:rPr>
        <w:t>第四部分 名词解释</w:t>
      </w:r>
    </w:p>
    <w:p w14:paraId="073BEF32">
      <w:pPr>
        <w:spacing w:line="600" w:lineRule="exact"/>
        <w:ind w:firstLine="643" w:firstLineChars="200"/>
        <w:rPr>
          <w:rFonts w:hint="eastAsia" w:eastAsia="仿宋_GB2312"/>
          <w:b/>
          <w:bCs/>
          <w:sz w:val="32"/>
          <w:szCs w:val="32"/>
        </w:rPr>
      </w:pPr>
    </w:p>
    <w:p w14:paraId="2E7D8607">
      <w:pPr>
        <w:spacing w:line="600" w:lineRule="exact"/>
        <w:ind w:firstLine="643" w:firstLineChars="200"/>
        <w:rPr>
          <w:rFonts w:ascii="仿宋_GB2312" w:hAnsi="仿宋" w:eastAsia="仿宋_GB2312" w:cs="仿宋"/>
          <w:b/>
          <w:bCs/>
          <w:kern w:val="0"/>
          <w:sz w:val="32"/>
          <w:szCs w:val="32"/>
          <w:lang w:bidi="ar"/>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1997724D">
      <w:pPr>
        <w:spacing w:line="600" w:lineRule="exact"/>
        <w:ind w:firstLine="643" w:firstLineChars="200"/>
        <w:rPr>
          <w:rFonts w:ascii="仿宋_GB2312" w:hAnsi="仿宋" w:eastAsia="仿宋_GB2312" w:cs="仿宋"/>
          <w:kern w:val="0"/>
          <w:sz w:val="32"/>
          <w:szCs w:val="32"/>
          <w:lang w:bidi="ar"/>
        </w:rPr>
      </w:pPr>
      <w:r>
        <w:rPr>
          <w:rFonts w:hint="eastAsia" w:ascii="仿宋_GB2312" w:hAnsi="仿宋" w:eastAsia="仿宋_GB2312" w:cs="仿宋"/>
          <w:b/>
          <w:bCs/>
          <w:kern w:val="0"/>
          <w:sz w:val="32"/>
          <w:szCs w:val="32"/>
          <w:lang w:bidi="ar"/>
        </w:rPr>
        <w:t>二、一般公共预算财政拨款收入</w:t>
      </w:r>
      <w:r>
        <w:rPr>
          <w:rFonts w:hint="eastAsia" w:ascii="仿宋_GB2312" w:hAnsi="仿宋" w:eastAsia="仿宋_GB2312" w:cs="仿宋"/>
          <w:kern w:val="0"/>
          <w:sz w:val="32"/>
          <w:szCs w:val="32"/>
          <w:lang w:bidi="ar"/>
        </w:rPr>
        <w:t>：指各单位从各级财政部门取得的财政预算资金。</w:t>
      </w:r>
    </w:p>
    <w:p w14:paraId="1D166B95">
      <w:pPr>
        <w:spacing w:line="600" w:lineRule="exact"/>
        <w:ind w:firstLine="643" w:firstLineChars="200"/>
        <w:rPr>
          <w:rFonts w:eastAsia="仿宋_GB2312"/>
          <w:sz w:val="32"/>
          <w:szCs w:val="32"/>
        </w:rPr>
      </w:pPr>
      <w:r>
        <w:rPr>
          <w:rFonts w:hint="eastAsia" w:eastAsia="仿宋_GB2312"/>
          <w:b/>
          <w:bCs/>
          <w:sz w:val="32"/>
          <w:szCs w:val="32"/>
        </w:rPr>
        <w:t>三、财政专户管理资金：</w:t>
      </w:r>
      <w:r>
        <w:rPr>
          <w:rFonts w:hint="eastAsia" w:eastAsia="仿宋_GB2312"/>
          <w:sz w:val="32"/>
          <w:szCs w:val="32"/>
        </w:rPr>
        <w:t>缴入财政专户、实行专项管理的高中以上学费、住宿费、高校委托培养费、函大、电大、夜大及短训班培训费等教育收费。</w:t>
      </w:r>
    </w:p>
    <w:p w14:paraId="1CBBCBBC">
      <w:pPr>
        <w:spacing w:line="600" w:lineRule="exact"/>
        <w:ind w:firstLine="643" w:firstLineChars="200"/>
      </w:pPr>
      <w:r>
        <w:rPr>
          <w:rFonts w:hint="eastAsia" w:eastAsia="仿宋_GB2312"/>
          <w:b/>
          <w:bCs/>
          <w:sz w:val="32"/>
          <w:szCs w:val="32"/>
        </w:rPr>
        <w:t>四、单位资金：</w:t>
      </w:r>
      <w:r>
        <w:rPr>
          <w:rFonts w:hint="eastAsia" w:eastAsia="仿宋_GB2312"/>
          <w:sz w:val="32"/>
          <w:szCs w:val="32"/>
        </w:rPr>
        <w:t>除财政拨款收入和财政专户管理资金以外的收入，包括事业收入（不含教育收费）、上级补助收入、附属单位上缴收入、事业单位经营收入及其他收入（包含债务收入、投资收益等）。</w:t>
      </w:r>
    </w:p>
    <w:p w14:paraId="4FAE6C3E">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五、事业收入</w:t>
      </w:r>
      <w:r>
        <w:rPr>
          <w:rFonts w:hint="eastAsia" w:ascii="仿宋_GB2312" w:hAnsi="仿宋" w:eastAsia="仿宋_GB2312" w:cs="仿宋"/>
          <w:kern w:val="0"/>
          <w:sz w:val="32"/>
          <w:szCs w:val="32"/>
          <w:lang w:bidi="ar"/>
        </w:rPr>
        <w:t>：是指事业单位开展专业业务活动及辅助活动所取得的收入。</w:t>
      </w:r>
    </w:p>
    <w:p w14:paraId="14A12517">
      <w:pPr>
        <w:widowControl/>
        <w:spacing w:line="560" w:lineRule="exact"/>
        <w:ind w:firstLine="643" w:firstLineChars="200"/>
        <w:jc w:val="left"/>
        <w:rPr>
          <w:rFonts w:ascii="仿宋_GB2312" w:hAnsi="仿宋" w:eastAsia="仿宋_GB2312" w:cs="仿宋"/>
          <w:kern w:val="0"/>
          <w:sz w:val="32"/>
          <w:szCs w:val="32"/>
          <w:lang w:bidi="ar"/>
        </w:rPr>
      </w:pPr>
      <w:r>
        <w:rPr>
          <w:rFonts w:hint="eastAsia" w:ascii="仿宋_GB2312" w:hAnsi="仿宋" w:eastAsia="仿宋_GB2312" w:cs="仿宋"/>
          <w:b/>
          <w:bCs/>
          <w:kern w:val="0"/>
          <w:sz w:val="32"/>
          <w:szCs w:val="32"/>
          <w:lang w:bidi="ar"/>
        </w:rPr>
        <w:t>六、事业单位经营收入</w:t>
      </w:r>
      <w:r>
        <w:rPr>
          <w:rFonts w:hint="eastAsia" w:ascii="仿宋_GB2312" w:hAnsi="仿宋" w:eastAsia="仿宋_GB2312" w:cs="仿宋"/>
          <w:kern w:val="0"/>
          <w:sz w:val="32"/>
          <w:szCs w:val="32"/>
          <w:lang w:bidi="ar"/>
        </w:rPr>
        <w:t>：是指事业单位在专业业务活动及其辅助活动之外开展非独立核算经营活动取得的收入。</w:t>
      </w:r>
    </w:p>
    <w:p w14:paraId="2FA865A1">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七、其他收入</w:t>
      </w:r>
      <w:r>
        <w:rPr>
          <w:rFonts w:hint="eastAsia" w:ascii="仿宋_GB2312" w:hAnsi="仿宋" w:eastAsia="仿宋_GB2312" w:cs="仿宋"/>
          <w:kern w:val="0"/>
          <w:sz w:val="32"/>
          <w:szCs w:val="32"/>
          <w:lang w:bidi="ar"/>
        </w:rPr>
        <w:t>：是指除上述“一般公共预算财政拨款收入”、“事业收入”、“事业单位经营收入”等以外的收入。主要是指按规定动用的售房收入、存款利息收入等。</w:t>
      </w:r>
    </w:p>
    <w:p w14:paraId="49E8EB27">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八、上年结转和结余</w:t>
      </w:r>
      <w:r>
        <w:rPr>
          <w:rFonts w:hint="eastAsia" w:ascii="仿宋_GB2312" w:hAnsi="仿宋" w:eastAsia="仿宋_GB2312" w:cs="仿宋"/>
          <w:kern w:val="0"/>
          <w:sz w:val="32"/>
          <w:szCs w:val="32"/>
          <w:lang w:bidi="ar"/>
        </w:rPr>
        <w:t>：是指以前年度尚未完成、结转到本年仍按原规定用途继续使用的资金</w:t>
      </w:r>
      <w:r>
        <w:rPr>
          <w:rFonts w:hint="eastAsia" w:eastAsia="仿宋_GB2312" w:cs="仿宋"/>
          <w:kern w:val="0"/>
          <w:sz w:val="32"/>
          <w:szCs w:val="32"/>
          <w:lang w:bidi="ar"/>
        </w:rPr>
        <w:t>。</w:t>
      </w:r>
    </w:p>
    <w:p w14:paraId="1D251738">
      <w:pPr>
        <w:widowControl/>
        <w:spacing w:line="560" w:lineRule="exact"/>
        <w:ind w:firstLine="643" w:firstLineChars="200"/>
        <w:jc w:val="left"/>
        <w:rPr>
          <w:rFonts w:ascii="仿宋_GB2312" w:hAnsi="仿宋" w:eastAsia="仿宋_GB2312" w:cs="仿宋"/>
          <w:kern w:val="0"/>
          <w:sz w:val="32"/>
          <w:szCs w:val="32"/>
          <w:lang w:bidi="ar"/>
        </w:rPr>
      </w:pPr>
      <w:r>
        <w:rPr>
          <w:rFonts w:hint="eastAsia" w:ascii="仿宋_GB2312" w:hAnsi="仿宋" w:eastAsia="仿宋_GB2312" w:cs="仿宋"/>
          <w:b/>
          <w:bCs/>
          <w:kern w:val="0"/>
          <w:sz w:val="32"/>
          <w:szCs w:val="32"/>
          <w:lang w:bidi="ar"/>
        </w:rPr>
        <w:t>九、基本支出</w:t>
      </w:r>
      <w:r>
        <w:rPr>
          <w:rFonts w:hint="eastAsia" w:ascii="仿宋_GB2312" w:hAnsi="仿宋" w:eastAsia="仿宋_GB2312" w:cs="仿宋"/>
          <w:kern w:val="0"/>
          <w:sz w:val="32"/>
          <w:szCs w:val="32"/>
          <w:lang w:bidi="ar"/>
        </w:rPr>
        <w:t>：指各单位为保障机构正常运转和完成日常工作任务发生的支出，包括人员支出和公用支出。</w:t>
      </w:r>
    </w:p>
    <w:p w14:paraId="4C0935C1">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十、项目支出</w:t>
      </w:r>
      <w:r>
        <w:rPr>
          <w:rFonts w:hint="eastAsia" w:ascii="仿宋_GB2312" w:hAnsi="仿宋" w:eastAsia="仿宋_GB2312" w:cs="仿宋"/>
          <w:kern w:val="0"/>
          <w:sz w:val="32"/>
          <w:szCs w:val="32"/>
          <w:lang w:bidi="ar"/>
        </w:rPr>
        <w:t>：指各单位为完成特定的工作任务，在基本支出之外发生的专项性支出。</w:t>
      </w:r>
    </w:p>
    <w:p w14:paraId="61241349">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十一、工资福利支出（支出经济分类科目类级）</w:t>
      </w:r>
      <w:r>
        <w:rPr>
          <w:rFonts w:hint="eastAsia" w:ascii="仿宋_GB2312" w:hAnsi="仿宋" w:eastAsia="仿宋_GB2312" w:cs="仿宋"/>
          <w:kern w:val="0"/>
          <w:sz w:val="32"/>
          <w:szCs w:val="32"/>
          <w:lang w:bidi="ar"/>
        </w:rPr>
        <w:t>：反映单位开支的在职职工和编制外长期聘用人员的各类劳动报酬，经及上述人员缴纳的各项社会保险费等。</w:t>
      </w:r>
    </w:p>
    <w:p w14:paraId="4FC03397">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十二、商品和服务支出（支出经济分类科目类级）</w:t>
      </w:r>
      <w:r>
        <w:rPr>
          <w:rFonts w:hint="eastAsia" w:ascii="仿宋_GB2312" w:hAnsi="仿宋" w:eastAsia="仿宋_GB2312" w:cs="仿宋"/>
          <w:kern w:val="0"/>
          <w:sz w:val="32"/>
          <w:szCs w:val="32"/>
          <w:lang w:bidi="ar"/>
        </w:rPr>
        <w:t>：反映单位购买商品和服务的支出（不包括用于购置固定资产的支出、战略性和应急储备支出）。</w:t>
      </w:r>
    </w:p>
    <w:p w14:paraId="44DD2010">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十三、对个人和家庭的补助（支出经济分类科目类级）：</w:t>
      </w:r>
      <w:r>
        <w:rPr>
          <w:rFonts w:hint="eastAsia" w:ascii="仿宋_GB2312" w:hAnsi="仿宋" w:eastAsia="仿宋_GB2312" w:cs="仿宋"/>
          <w:kern w:val="0"/>
          <w:sz w:val="32"/>
          <w:szCs w:val="32"/>
          <w:lang w:bidi="ar"/>
        </w:rPr>
        <w:t>反映政府用于对个人和家庭的补助支出。</w:t>
      </w:r>
    </w:p>
    <w:p w14:paraId="5463FAAC">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十四、“三公”经费</w:t>
      </w:r>
      <w:r>
        <w:rPr>
          <w:rFonts w:hint="eastAsia" w:ascii="仿宋_GB2312" w:hAnsi="仿宋" w:eastAsia="仿宋_GB2312" w:cs="仿宋"/>
          <w:kern w:val="0"/>
          <w:sz w:val="32"/>
          <w:szCs w:val="32"/>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6D90B7DA">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十五、机关运行经费</w:t>
      </w:r>
      <w:r>
        <w:rPr>
          <w:rFonts w:hint="eastAsia" w:ascii="仿宋_GB2312" w:hAnsi="仿宋" w:eastAsia="仿宋_GB2312" w:cs="仿宋"/>
          <w:kern w:val="0"/>
          <w:sz w:val="32"/>
          <w:szCs w:val="32"/>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0F199C3A">
      <w:pPr>
        <w:widowControl/>
        <w:spacing w:line="560" w:lineRule="exact"/>
        <w:ind w:firstLine="643" w:firstLineChars="200"/>
        <w:jc w:val="left"/>
        <w:rPr>
          <w:rFonts w:ascii="仿宋_GB2312" w:eastAsia="仿宋_GB2312"/>
          <w:sz w:val="32"/>
          <w:szCs w:val="32"/>
        </w:rPr>
      </w:pPr>
      <w:r>
        <w:rPr>
          <w:rFonts w:hint="eastAsia" w:ascii="仿宋_GB2312" w:hAnsi="仿宋" w:eastAsia="仿宋_GB2312" w:cs="仿宋"/>
          <w:b/>
          <w:bCs/>
          <w:kern w:val="0"/>
          <w:sz w:val="32"/>
          <w:szCs w:val="32"/>
          <w:lang w:bidi="ar"/>
        </w:rPr>
        <w:t>十六、事业运转经费</w:t>
      </w:r>
      <w:r>
        <w:rPr>
          <w:rFonts w:hint="eastAsia" w:ascii="仿宋_GB2312" w:hAnsi="仿宋" w:eastAsia="仿宋_GB2312" w:cs="仿宋"/>
          <w:kern w:val="0"/>
          <w:sz w:val="32"/>
          <w:szCs w:val="32"/>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263B5A36">
      <w:pPr>
        <w:widowControl/>
        <w:spacing w:line="600" w:lineRule="exact"/>
        <w:jc w:val="both"/>
        <w:rPr>
          <w:rFonts w:ascii="仿宋_GB2312" w:hAnsi="仿宋" w:eastAsia="仿宋_GB2312" w:cs="仿宋"/>
          <w:b/>
          <w:bCs/>
          <w:kern w:val="0"/>
          <w:sz w:val="36"/>
          <w:szCs w:val="32"/>
          <w:lang w:bidi="ar"/>
        </w:rPr>
      </w:pPr>
    </w:p>
    <w:p w14:paraId="6146BECB">
      <w:pPr>
        <w:widowControl/>
        <w:spacing w:line="600" w:lineRule="exact"/>
        <w:jc w:val="center"/>
        <w:rPr>
          <w:rFonts w:ascii="仿宋_GB2312" w:eastAsia="仿宋_GB2312"/>
          <w:sz w:val="36"/>
          <w:szCs w:val="32"/>
        </w:rPr>
      </w:pPr>
      <w:r>
        <w:rPr>
          <w:rFonts w:hint="eastAsia" w:ascii="仿宋_GB2312" w:hAnsi="仿宋" w:eastAsia="仿宋_GB2312" w:cs="仿宋"/>
          <w:b/>
          <w:bCs/>
          <w:kern w:val="0"/>
          <w:sz w:val="36"/>
          <w:szCs w:val="32"/>
          <w:lang w:bidi="ar"/>
        </w:rPr>
        <w:t>第五部分 预算公开联系方式及信息反馈渠道</w:t>
      </w:r>
    </w:p>
    <w:p w14:paraId="2DC81491">
      <w:pPr>
        <w:widowControl/>
        <w:spacing w:line="600" w:lineRule="exact"/>
        <w:ind w:firstLine="640" w:firstLineChars="200"/>
        <w:jc w:val="left"/>
        <w:rPr>
          <w:rFonts w:ascii="仿宋_GB2312" w:hAnsi="仿宋" w:eastAsia="仿宋_GB2312" w:cs="仿宋"/>
          <w:kern w:val="0"/>
          <w:sz w:val="32"/>
          <w:szCs w:val="32"/>
          <w:lang w:bidi="ar"/>
        </w:rPr>
      </w:pPr>
    </w:p>
    <w:p w14:paraId="105D6ABD">
      <w:pPr>
        <w:widowControl/>
        <w:spacing w:line="600" w:lineRule="exact"/>
        <w:ind w:firstLine="640" w:firstLineChars="200"/>
        <w:jc w:val="left"/>
        <w:rPr>
          <w:rFonts w:ascii="仿宋_GB2312" w:eastAsia="仿宋_GB2312"/>
          <w:sz w:val="32"/>
          <w:szCs w:val="32"/>
        </w:rPr>
      </w:pPr>
      <w:r>
        <w:rPr>
          <w:rFonts w:hint="eastAsia" w:ascii="仿宋_GB2312" w:hAnsi="仿宋" w:eastAsia="仿宋_GB2312" w:cs="仿宋"/>
          <w:kern w:val="0"/>
          <w:sz w:val="32"/>
          <w:szCs w:val="32"/>
          <w:lang w:bidi="ar"/>
        </w:rPr>
        <w:t>本单位预算公开信息反馈和联系方式：</w:t>
      </w:r>
    </w:p>
    <w:p w14:paraId="0A48AD7B">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 w:eastAsia="仿宋_GB2312" w:cs="仿宋"/>
          <w:kern w:val="0"/>
          <w:sz w:val="32"/>
          <w:szCs w:val="32"/>
          <w:lang w:bidi="ar"/>
        </w:rPr>
        <w:t xml:space="preserve">联系人：万丽丽         </w:t>
      </w:r>
      <w:r>
        <w:rPr>
          <w:rFonts w:hint="eastAsia" w:ascii="仿宋_GB2312" w:hAnsi="仿宋" w:eastAsia="仿宋_GB2312" w:cs="仿宋"/>
          <w:kern w:val="0"/>
          <w:sz w:val="32"/>
          <w:szCs w:val="32"/>
          <w:lang w:val="en-US" w:eastAsia="zh-CN" w:bidi="ar"/>
        </w:rPr>
        <w:t xml:space="preserve">  </w:t>
      </w:r>
      <w:r>
        <w:rPr>
          <w:rFonts w:hint="eastAsia" w:ascii="仿宋_GB2312" w:hAnsi="仿宋" w:eastAsia="仿宋_GB2312" w:cs="仿宋"/>
          <w:kern w:val="0"/>
          <w:sz w:val="32"/>
          <w:szCs w:val="32"/>
          <w:lang w:bidi="ar"/>
        </w:rPr>
        <w:t>联系电话：</w:t>
      </w:r>
      <w:r>
        <w:rPr>
          <w:rFonts w:hint="eastAsia" w:ascii="仿宋_GB2312" w:hAnsi="仿宋_GB2312" w:eastAsia="仿宋_GB2312" w:cs="仿宋_GB2312"/>
          <w:sz w:val="32"/>
          <w:szCs w:val="32"/>
        </w:rPr>
        <w:t>13514734615</w:t>
      </w:r>
    </w:p>
    <w:p w14:paraId="50CA73AE">
      <w:pPr>
        <w:widowControl/>
        <w:spacing w:line="600" w:lineRule="exact"/>
        <w:ind w:firstLine="643" w:firstLineChars="200"/>
        <w:jc w:val="left"/>
        <w:rPr>
          <w:rFonts w:ascii="仿宋_GB2312" w:hAnsi="仿宋" w:eastAsia="仿宋_GB2312" w:cs="仿宋"/>
          <w:b/>
          <w:bCs/>
          <w:kern w:val="0"/>
          <w:sz w:val="32"/>
          <w:szCs w:val="32"/>
          <w:lang w:bidi="ar"/>
        </w:rPr>
      </w:pPr>
    </w:p>
    <w:p w14:paraId="57A833E1">
      <w:pPr>
        <w:widowControl/>
        <w:spacing w:line="600" w:lineRule="exact"/>
        <w:ind w:firstLine="723" w:firstLineChars="200"/>
        <w:jc w:val="center"/>
        <w:rPr>
          <w:rFonts w:ascii="仿宋_GB2312" w:hAnsi="仿宋" w:eastAsia="仿宋_GB2312" w:cs="仿宋"/>
          <w:kern w:val="0"/>
          <w:sz w:val="32"/>
          <w:szCs w:val="32"/>
          <w:lang w:bidi="ar"/>
        </w:rPr>
      </w:pPr>
      <w:r>
        <w:rPr>
          <w:rFonts w:hint="eastAsia" w:ascii="仿宋_GB2312" w:hAnsi="仿宋" w:eastAsia="仿宋_GB2312" w:cs="仿宋"/>
          <w:b/>
          <w:bCs/>
          <w:kern w:val="0"/>
          <w:sz w:val="36"/>
          <w:szCs w:val="32"/>
          <w:lang w:bidi="ar"/>
        </w:rPr>
        <w:t xml:space="preserve">第六部分 </w:t>
      </w:r>
      <w:r>
        <w:rPr>
          <w:rFonts w:hint="eastAsia" w:ascii="仿宋_GB2312" w:hAnsi="仿宋" w:eastAsia="仿宋_GB2312" w:cs="仿宋"/>
          <w:b/>
          <w:bCs/>
          <w:kern w:val="0"/>
          <w:sz w:val="36"/>
          <w:szCs w:val="32"/>
          <w:lang w:val="en-US" w:eastAsia="zh-CN" w:bidi="ar"/>
        </w:rPr>
        <w:t>单位</w:t>
      </w:r>
      <w:r>
        <w:rPr>
          <w:rFonts w:hint="eastAsia" w:ascii="仿宋_GB2312" w:hAnsi="仿宋" w:eastAsia="仿宋_GB2312" w:cs="仿宋"/>
          <w:b/>
          <w:bCs/>
          <w:kern w:val="0"/>
          <w:sz w:val="36"/>
          <w:szCs w:val="32"/>
          <w:lang w:bidi="ar"/>
        </w:rPr>
        <w:t>预算公开表</w:t>
      </w:r>
    </w:p>
    <w:p w14:paraId="48D7F627">
      <w:pPr>
        <w:widowControl/>
        <w:spacing w:line="600" w:lineRule="exact"/>
        <w:ind w:firstLine="640" w:firstLineChars="200"/>
        <w:jc w:val="left"/>
        <w:rPr>
          <w:rFonts w:hint="eastAsia" w:ascii="仿宋_GB2312" w:hAnsi="仿宋" w:eastAsia="仿宋_GB2312" w:cs="仿宋"/>
          <w:kern w:val="0"/>
          <w:sz w:val="32"/>
          <w:szCs w:val="32"/>
          <w:lang w:bidi="ar"/>
        </w:rPr>
      </w:pPr>
    </w:p>
    <w:p w14:paraId="3C5E90A9">
      <w:pPr>
        <w:widowControl/>
        <w:spacing w:line="600" w:lineRule="exact"/>
        <w:ind w:firstLine="640" w:firstLineChars="200"/>
        <w:jc w:val="left"/>
        <w:rPr>
          <w:rFonts w:ascii="仿宋_GB2312" w:eastAsia="仿宋_GB2312"/>
          <w:sz w:val="32"/>
          <w:szCs w:val="32"/>
        </w:rPr>
      </w:pPr>
      <w:r>
        <w:rPr>
          <w:rFonts w:hint="eastAsia" w:ascii="仿宋_GB2312" w:hAnsi="仿宋" w:eastAsia="仿宋_GB2312" w:cs="仿宋"/>
          <w:kern w:val="0"/>
          <w:sz w:val="32"/>
          <w:szCs w:val="32"/>
          <w:lang w:bidi="ar"/>
        </w:rPr>
        <w:t>附表：</w:t>
      </w:r>
    </w:p>
    <w:p w14:paraId="28BE8819">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一、</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收支总体情况表</w:t>
      </w:r>
    </w:p>
    <w:p w14:paraId="68A340BF">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二、</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收入总体情况表</w:t>
      </w:r>
    </w:p>
    <w:p w14:paraId="06D03D20">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三、</w:t>
      </w:r>
      <w:r>
        <w:rPr>
          <w:rFonts w:hint="eastAsia" w:ascii="Times New Roman" w:hAnsi="Times New Roman" w:eastAsia="仿宋_GB2312" w:cs="仿宋"/>
          <w:spacing w:val="-17"/>
          <w:w w:val="95"/>
          <w:sz w:val="32"/>
          <w:szCs w:val="32"/>
          <w:lang w:val="en-US" w:eastAsia="zh-CN"/>
        </w:rPr>
        <w:t>单位</w:t>
      </w:r>
      <w:r>
        <w:rPr>
          <w:rFonts w:hint="eastAsia" w:ascii="Times New Roman" w:hAnsi="Times New Roman" w:eastAsia="仿宋_GB2312" w:cs="仿宋"/>
          <w:spacing w:val="-17"/>
          <w:w w:val="95"/>
          <w:sz w:val="32"/>
          <w:szCs w:val="32"/>
        </w:rPr>
        <w:t>支出总体情况表</w:t>
      </w:r>
    </w:p>
    <w:p w14:paraId="7978E3AA">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四、财政拨款收支总体情况表</w:t>
      </w:r>
    </w:p>
    <w:p w14:paraId="45E61931">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五、一般公共预算支出情况表</w:t>
      </w:r>
    </w:p>
    <w:p w14:paraId="53A9EB86">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六、一般公共预算基本支出情况表</w:t>
      </w:r>
    </w:p>
    <w:p w14:paraId="4FDA0C70">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七、一般公共预算“三公”经费支出情况表</w:t>
      </w:r>
    </w:p>
    <w:p w14:paraId="4441E883">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八、政府性基金预算支出情况表</w:t>
      </w:r>
    </w:p>
    <w:p w14:paraId="08B90635">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九、国有资本经营预算支出表</w:t>
      </w:r>
    </w:p>
    <w:p w14:paraId="35B5CA37">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十、项目支出表</w:t>
      </w:r>
    </w:p>
    <w:p w14:paraId="2CBF4E50">
      <w:pPr>
        <w:widowControl/>
        <w:spacing w:line="360" w:lineRule="auto"/>
        <w:ind w:firstLine="540" w:firstLineChars="200"/>
        <w:jc w:val="left"/>
        <w:rPr>
          <w:rFonts w:ascii="Times New Roman" w:hAnsi="Times New Roman" w:eastAsia="仿宋_GB2312" w:cs="仿宋"/>
          <w:spacing w:val="-17"/>
          <w:w w:val="95"/>
          <w:sz w:val="32"/>
          <w:szCs w:val="32"/>
        </w:rPr>
      </w:pPr>
      <w:r>
        <w:rPr>
          <w:rFonts w:hint="eastAsia" w:ascii="Times New Roman" w:hAnsi="Times New Roman" w:eastAsia="仿宋_GB2312" w:cs="仿宋"/>
          <w:spacing w:val="-17"/>
          <w:w w:val="95"/>
          <w:sz w:val="32"/>
          <w:szCs w:val="32"/>
        </w:rPr>
        <w:t>十一、项目绩效目标表</w:t>
      </w:r>
    </w:p>
    <w:p w14:paraId="5854D299">
      <w:pPr>
        <w:widowControl/>
        <w:spacing w:line="360" w:lineRule="auto"/>
        <w:ind w:firstLine="540" w:firstLineChars="200"/>
        <w:jc w:val="left"/>
        <w:rPr>
          <w:rFonts w:ascii="仿宋_GB2312" w:hAnsi="仿宋" w:eastAsia="仿宋_GB2312" w:cs="仿宋"/>
          <w:b/>
          <w:bCs/>
          <w:kern w:val="0"/>
          <w:sz w:val="32"/>
          <w:szCs w:val="32"/>
          <w:lang w:bidi="ar"/>
        </w:rPr>
      </w:pPr>
      <w:r>
        <w:rPr>
          <w:rFonts w:hint="eastAsia" w:ascii="Times New Roman" w:hAnsi="Times New Roman" w:eastAsia="仿宋_GB2312" w:cs="仿宋"/>
          <w:spacing w:val="-17"/>
          <w:w w:val="95"/>
          <w:sz w:val="32"/>
          <w:szCs w:val="32"/>
        </w:rPr>
        <w:t>十二、政府采购预算表</w:t>
      </w:r>
    </w:p>
    <w:p w14:paraId="0B6AAF2C">
      <w:pPr>
        <w:widowControl/>
        <w:spacing w:line="600" w:lineRule="exact"/>
        <w:ind w:firstLine="640" w:firstLineChars="200"/>
        <w:jc w:val="left"/>
        <w:rPr>
          <w:rFonts w:ascii="仿宋_GB2312" w:eastAsia="仿宋_GB2312"/>
          <w:sz w:val="32"/>
          <w:szCs w:val="32"/>
        </w:rPr>
      </w:pP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0CECD7-ED03-4737-AAB3-A4043F4143A9}"/>
  </w:font>
  <w:font w:name="Courier New">
    <w:panose1 w:val="02070309020205020404"/>
    <w:charset w:val="01"/>
    <w:family w:val="modern"/>
    <w:pitch w:val="default"/>
    <w:sig w:usb0="E0002EFF" w:usb1="C0007843" w:usb2="00000009" w:usb3="00000000" w:csb0="400001FF" w:csb1="FFFF0000"/>
    <w:embedRegular r:id="rId2" w:fontKey="{452C77AD-3496-40FD-B860-82EADD26B5E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3344995-BC05-4CCE-9A9F-CBC3EBBF8806}"/>
  </w:font>
  <w:font w:name="楷体">
    <w:panose1 w:val="02010609060101010101"/>
    <w:charset w:val="86"/>
    <w:family w:val="modern"/>
    <w:pitch w:val="default"/>
    <w:sig w:usb0="800002BF" w:usb1="38CF7CFA" w:usb2="00000016" w:usb3="00000000" w:csb0="00040001" w:csb1="00000000"/>
    <w:embedRegular r:id="rId4" w:fontKey="{8832FE95-AFBE-4714-B10D-D971B6E45C0E}"/>
  </w:font>
  <w:font w:name="仿宋">
    <w:panose1 w:val="02010609060101010101"/>
    <w:charset w:val="86"/>
    <w:family w:val="modern"/>
    <w:pitch w:val="default"/>
    <w:sig w:usb0="800002BF" w:usb1="38CF7CFA" w:usb2="00000016" w:usb3="00000000" w:csb0="00040001" w:csb1="00000000"/>
    <w:embedRegular r:id="rId5" w:fontKey="{EDE74CA9-FFFA-45EE-A179-FBCFC54ACF49}"/>
  </w:font>
  <w:font w:name="Cambria">
    <w:panose1 w:val="02040503050406030204"/>
    <w:charset w:val="00"/>
    <w:family w:val="roman"/>
    <w:pitch w:val="default"/>
    <w:sig w:usb0="E00006FF" w:usb1="420024FF" w:usb2="02000000" w:usb3="00000000" w:csb0="2000019F" w:csb1="00000000"/>
    <w:embedRegular r:id="rId6" w:fontKey="{58227296-827C-41B0-8B57-BB0938E9BEEB}"/>
  </w:font>
  <w:font w:name="方正小标宋简体">
    <w:altName w:val="黑体"/>
    <w:panose1 w:val="02000000000000000000"/>
    <w:charset w:val="86"/>
    <w:family w:val="script"/>
    <w:pitch w:val="default"/>
    <w:sig w:usb0="00000000" w:usb1="00000000" w:usb2="00000012" w:usb3="00000000" w:csb0="00040001" w:csb1="00000000"/>
    <w:embedRegular r:id="rId7" w:fontKey="{1A25BCE2-30AF-4F1E-9E86-FBA2200C6165}"/>
  </w:font>
  <w:font w:name="仿宋_GB2312">
    <w:altName w:val="仿宋"/>
    <w:panose1 w:val="02010609030101010101"/>
    <w:charset w:val="86"/>
    <w:family w:val="modern"/>
    <w:pitch w:val="default"/>
    <w:sig w:usb0="00000000" w:usb1="00000000" w:usb2="00000000" w:usb3="00000000" w:csb0="00040000" w:csb1="00000000"/>
    <w:embedRegular r:id="rId8" w:fontKey="{FA6A3346-E359-453F-A5C9-CC1FC6A359C7}"/>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9" w:fontKey="{FBD8CE9F-C905-461A-889B-46FEA8678985}"/>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87D63"/>
    <w:multiLevelType w:val="singleLevel"/>
    <w:tmpl w:val="B9F87D6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0467F"/>
    <w:rsid w:val="00007AAA"/>
    <w:rsid w:val="000273CC"/>
    <w:rsid w:val="000A4D97"/>
    <w:rsid w:val="000D13D3"/>
    <w:rsid w:val="0010467F"/>
    <w:rsid w:val="001134E6"/>
    <w:rsid w:val="001502E2"/>
    <w:rsid w:val="00210D97"/>
    <w:rsid w:val="00280E5A"/>
    <w:rsid w:val="002A164D"/>
    <w:rsid w:val="002D4365"/>
    <w:rsid w:val="00404F83"/>
    <w:rsid w:val="004309F5"/>
    <w:rsid w:val="00486F57"/>
    <w:rsid w:val="0050101C"/>
    <w:rsid w:val="00515C5E"/>
    <w:rsid w:val="0057391F"/>
    <w:rsid w:val="005A50DA"/>
    <w:rsid w:val="00634FFB"/>
    <w:rsid w:val="0064264C"/>
    <w:rsid w:val="00686370"/>
    <w:rsid w:val="00834FC5"/>
    <w:rsid w:val="008E1950"/>
    <w:rsid w:val="008F2CF1"/>
    <w:rsid w:val="009B24BC"/>
    <w:rsid w:val="009D75D1"/>
    <w:rsid w:val="00A55A76"/>
    <w:rsid w:val="00AD3B0B"/>
    <w:rsid w:val="00B10352"/>
    <w:rsid w:val="00CA3629"/>
    <w:rsid w:val="00DB0ECF"/>
    <w:rsid w:val="00DB6190"/>
    <w:rsid w:val="00DC21FE"/>
    <w:rsid w:val="00E45543"/>
    <w:rsid w:val="00EC2808"/>
    <w:rsid w:val="00EF2CB7"/>
    <w:rsid w:val="00F13FA0"/>
    <w:rsid w:val="00F26DA1"/>
    <w:rsid w:val="00FC1842"/>
    <w:rsid w:val="01020B8B"/>
    <w:rsid w:val="010D4062"/>
    <w:rsid w:val="01816A09"/>
    <w:rsid w:val="01E76CB4"/>
    <w:rsid w:val="02380E83"/>
    <w:rsid w:val="029435B7"/>
    <w:rsid w:val="033124A2"/>
    <w:rsid w:val="03457848"/>
    <w:rsid w:val="038F602A"/>
    <w:rsid w:val="03D177E1"/>
    <w:rsid w:val="0402799B"/>
    <w:rsid w:val="041476CE"/>
    <w:rsid w:val="042E253E"/>
    <w:rsid w:val="0444548E"/>
    <w:rsid w:val="04843131"/>
    <w:rsid w:val="04904FA7"/>
    <w:rsid w:val="04EE6171"/>
    <w:rsid w:val="05453FE3"/>
    <w:rsid w:val="056E7051"/>
    <w:rsid w:val="061D502E"/>
    <w:rsid w:val="06305B70"/>
    <w:rsid w:val="06471FDD"/>
    <w:rsid w:val="064F2D42"/>
    <w:rsid w:val="06782A33"/>
    <w:rsid w:val="068437E1"/>
    <w:rsid w:val="076D7821"/>
    <w:rsid w:val="07950B26"/>
    <w:rsid w:val="07BB67DE"/>
    <w:rsid w:val="08BA4CE8"/>
    <w:rsid w:val="094E71DE"/>
    <w:rsid w:val="096D58B6"/>
    <w:rsid w:val="097614B9"/>
    <w:rsid w:val="099472E7"/>
    <w:rsid w:val="099F5C8C"/>
    <w:rsid w:val="0A587D41"/>
    <w:rsid w:val="0B0A5387"/>
    <w:rsid w:val="0B957346"/>
    <w:rsid w:val="0BA94BA0"/>
    <w:rsid w:val="0BCB4B16"/>
    <w:rsid w:val="0C25691C"/>
    <w:rsid w:val="0C4F3999"/>
    <w:rsid w:val="0C6D7BF8"/>
    <w:rsid w:val="0C710BAB"/>
    <w:rsid w:val="0C825B1D"/>
    <w:rsid w:val="0C8F309F"/>
    <w:rsid w:val="0C9674DF"/>
    <w:rsid w:val="0CC7352F"/>
    <w:rsid w:val="0D006A41"/>
    <w:rsid w:val="0D8F47AD"/>
    <w:rsid w:val="0DB735D5"/>
    <w:rsid w:val="0DD41D56"/>
    <w:rsid w:val="0E401CE0"/>
    <w:rsid w:val="0E5232CD"/>
    <w:rsid w:val="0E5928AD"/>
    <w:rsid w:val="0E6D0F0A"/>
    <w:rsid w:val="0E99726D"/>
    <w:rsid w:val="0EB9159E"/>
    <w:rsid w:val="0EBF3EFE"/>
    <w:rsid w:val="0EED1247"/>
    <w:rsid w:val="0F7B2C92"/>
    <w:rsid w:val="101237A4"/>
    <w:rsid w:val="10552A54"/>
    <w:rsid w:val="10CD30DE"/>
    <w:rsid w:val="10D36599"/>
    <w:rsid w:val="111E393A"/>
    <w:rsid w:val="11771BFF"/>
    <w:rsid w:val="11D706B9"/>
    <w:rsid w:val="11E26F91"/>
    <w:rsid w:val="11EC6B4C"/>
    <w:rsid w:val="12B24A52"/>
    <w:rsid w:val="12BA7692"/>
    <w:rsid w:val="12C80001"/>
    <w:rsid w:val="133B512C"/>
    <w:rsid w:val="138F28CD"/>
    <w:rsid w:val="13C609E5"/>
    <w:rsid w:val="13D26797"/>
    <w:rsid w:val="13EB622B"/>
    <w:rsid w:val="13F842B1"/>
    <w:rsid w:val="14045829"/>
    <w:rsid w:val="14121C63"/>
    <w:rsid w:val="141A23D2"/>
    <w:rsid w:val="141B2394"/>
    <w:rsid w:val="145A112D"/>
    <w:rsid w:val="14610484"/>
    <w:rsid w:val="151934FB"/>
    <w:rsid w:val="152105B4"/>
    <w:rsid w:val="15545B7C"/>
    <w:rsid w:val="156D4E90"/>
    <w:rsid w:val="156F12B5"/>
    <w:rsid w:val="1574621E"/>
    <w:rsid w:val="15835F82"/>
    <w:rsid w:val="159325A8"/>
    <w:rsid w:val="15AF1FBC"/>
    <w:rsid w:val="15B531C4"/>
    <w:rsid w:val="15BD6FF9"/>
    <w:rsid w:val="15F07F9B"/>
    <w:rsid w:val="15FA0F22"/>
    <w:rsid w:val="16535259"/>
    <w:rsid w:val="16AD03A2"/>
    <w:rsid w:val="16D92F2E"/>
    <w:rsid w:val="16EE59E5"/>
    <w:rsid w:val="16F61C6B"/>
    <w:rsid w:val="172123D6"/>
    <w:rsid w:val="172D2B29"/>
    <w:rsid w:val="173F1101"/>
    <w:rsid w:val="17E82470"/>
    <w:rsid w:val="180B566D"/>
    <w:rsid w:val="188C387F"/>
    <w:rsid w:val="190E24E6"/>
    <w:rsid w:val="19743C5D"/>
    <w:rsid w:val="19880505"/>
    <w:rsid w:val="19B465B5"/>
    <w:rsid w:val="19B66244"/>
    <w:rsid w:val="1A334FF6"/>
    <w:rsid w:val="1A3366A8"/>
    <w:rsid w:val="1A4A5B9B"/>
    <w:rsid w:val="1A7A7E33"/>
    <w:rsid w:val="1AA01F0E"/>
    <w:rsid w:val="1AD7327E"/>
    <w:rsid w:val="1ADD03C2"/>
    <w:rsid w:val="1AF5395E"/>
    <w:rsid w:val="1BA21253"/>
    <w:rsid w:val="1C6012AB"/>
    <w:rsid w:val="1C79398B"/>
    <w:rsid w:val="1CBA6107"/>
    <w:rsid w:val="1CD30200"/>
    <w:rsid w:val="1D1C3424"/>
    <w:rsid w:val="1D69418F"/>
    <w:rsid w:val="1DFE0D7B"/>
    <w:rsid w:val="1E355D0B"/>
    <w:rsid w:val="1E5C5F4C"/>
    <w:rsid w:val="1E8C282B"/>
    <w:rsid w:val="1EAE454F"/>
    <w:rsid w:val="1ED225EB"/>
    <w:rsid w:val="1F08025D"/>
    <w:rsid w:val="1F4C5B16"/>
    <w:rsid w:val="1F694B18"/>
    <w:rsid w:val="1F714618"/>
    <w:rsid w:val="1FDA4D78"/>
    <w:rsid w:val="20316D99"/>
    <w:rsid w:val="207D067D"/>
    <w:rsid w:val="208562DE"/>
    <w:rsid w:val="20D61B3B"/>
    <w:rsid w:val="20F16975"/>
    <w:rsid w:val="213139E5"/>
    <w:rsid w:val="218C10A4"/>
    <w:rsid w:val="225B49EE"/>
    <w:rsid w:val="22FD7853"/>
    <w:rsid w:val="23095765"/>
    <w:rsid w:val="232E3EB1"/>
    <w:rsid w:val="23D5513C"/>
    <w:rsid w:val="24064954"/>
    <w:rsid w:val="24080638"/>
    <w:rsid w:val="24704055"/>
    <w:rsid w:val="25021151"/>
    <w:rsid w:val="25921DA6"/>
    <w:rsid w:val="263B7010"/>
    <w:rsid w:val="26A526DC"/>
    <w:rsid w:val="26B50445"/>
    <w:rsid w:val="279802A7"/>
    <w:rsid w:val="283A50A6"/>
    <w:rsid w:val="28590024"/>
    <w:rsid w:val="285D3A69"/>
    <w:rsid w:val="28862099"/>
    <w:rsid w:val="28DF17A9"/>
    <w:rsid w:val="29065364"/>
    <w:rsid w:val="29363ABF"/>
    <w:rsid w:val="2996455E"/>
    <w:rsid w:val="2A7F1496"/>
    <w:rsid w:val="2AB63109"/>
    <w:rsid w:val="2AC60E73"/>
    <w:rsid w:val="2B6547AD"/>
    <w:rsid w:val="2BC1063F"/>
    <w:rsid w:val="2BD93F8A"/>
    <w:rsid w:val="2BFA0DD4"/>
    <w:rsid w:val="2C043A01"/>
    <w:rsid w:val="2C947DA9"/>
    <w:rsid w:val="2C960AEF"/>
    <w:rsid w:val="2D485B6F"/>
    <w:rsid w:val="2E9D638E"/>
    <w:rsid w:val="2F1321AD"/>
    <w:rsid w:val="2F3F6AD2"/>
    <w:rsid w:val="2F566C69"/>
    <w:rsid w:val="2F6A001E"/>
    <w:rsid w:val="2F994DA8"/>
    <w:rsid w:val="30197C97"/>
    <w:rsid w:val="30C84050"/>
    <w:rsid w:val="30E402A4"/>
    <w:rsid w:val="31796C3F"/>
    <w:rsid w:val="31B201DD"/>
    <w:rsid w:val="31BD5C59"/>
    <w:rsid w:val="31F03DFD"/>
    <w:rsid w:val="32110115"/>
    <w:rsid w:val="321E5971"/>
    <w:rsid w:val="32543208"/>
    <w:rsid w:val="32995B42"/>
    <w:rsid w:val="32DA54BB"/>
    <w:rsid w:val="32FF4F22"/>
    <w:rsid w:val="339567A0"/>
    <w:rsid w:val="3436578D"/>
    <w:rsid w:val="34D261C1"/>
    <w:rsid w:val="35254F8D"/>
    <w:rsid w:val="3529097C"/>
    <w:rsid w:val="36721EAF"/>
    <w:rsid w:val="36AD2AFB"/>
    <w:rsid w:val="36C6306C"/>
    <w:rsid w:val="37270EEB"/>
    <w:rsid w:val="372901FD"/>
    <w:rsid w:val="376E2CDC"/>
    <w:rsid w:val="37D625D7"/>
    <w:rsid w:val="38340B9F"/>
    <w:rsid w:val="385E26EA"/>
    <w:rsid w:val="387B504A"/>
    <w:rsid w:val="391D7DB8"/>
    <w:rsid w:val="391E1E7A"/>
    <w:rsid w:val="395C33B6"/>
    <w:rsid w:val="396922DF"/>
    <w:rsid w:val="397845BB"/>
    <w:rsid w:val="39AB7BB1"/>
    <w:rsid w:val="39D8535B"/>
    <w:rsid w:val="3A030A65"/>
    <w:rsid w:val="3A500759"/>
    <w:rsid w:val="3A5447D8"/>
    <w:rsid w:val="3AB35415"/>
    <w:rsid w:val="3AC23405"/>
    <w:rsid w:val="3ADE3FB6"/>
    <w:rsid w:val="3AFC34D5"/>
    <w:rsid w:val="3B453CE0"/>
    <w:rsid w:val="3B514118"/>
    <w:rsid w:val="3BF55114"/>
    <w:rsid w:val="3C7C511A"/>
    <w:rsid w:val="3C8623E4"/>
    <w:rsid w:val="3CC66AB0"/>
    <w:rsid w:val="3CE0515B"/>
    <w:rsid w:val="3CE711C9"/>
    <w:rsid w:val="3DBB413B"/>
    <w:rsid w:val="3E404780"/>
    <w:rsid w:val="3E7A5DA4"/>
    <w:rsid w:val="3E9E7CE5"/>
    <w:rsid w:val="3EA572C5"/>
    <w:rsid w:val="3EC216F3"/>
    <w:rsid w:val="3EF75647"/>
    <w:rsid w:val="3F6C13CF"/>
    <w:rsid w:val="40291362"/>
    <w:rsid w:val="409749EB"/>
    <w:rsid w:val="40980764"/>
    <w:rsid w:val="40A95AE8"/>
    <w:rsid w:val="40AB493B"/>
    <w:rsid w:val="40E03BB7"/>
    <w:rsid w:val="41066339"/>
    <w:rsid w:val="4121045B"/>
    <w:rsid w:val="4121568C"/>
    <w:rsid w:val="416E7E42"/>
    <w:rsid w:val="41C44FD7"/>
    <w:rsid w:val="41D1217F"/>
    <w:rsid w:val="41F06AA9"/>
    <w:rsid w:val="41F67E38"/>
    <w:rsid w:val="422B5D33"/>
    <w:rsid w:val="423448B7"/>
    <w:rsid w:val="424503FA"/>
    <w:rsid w:val="426054F5"/>
    <w:rsid w:val="42B86E9B"/>
    <w:rsid w:val="432B1D63"/>
    <w:rsid w:val="43AD4526"/>
    <w:rsid w:val="43D85A47"/>
    <w:rsid w:val="43EC14F2"/>
    <w:rsid w:val="442D374E"/>
    <w:rsid w:val="448259B3"/>
    <w:rsid w:val="44AE67A8"/>
    <w:rsid w:val="45253E34"/>
    <w:rsid w:val="452627E2"/>
    <w:rsid w:val="45877724"/>
    <w:rsid w:val="45B47DEE"/>
    <w:rsid w:val="45CC4523"/>
    <w:rsid w:val="46163B90"/>
    <w:rsid w:val="4678706D"/>
    <w:rsid w:val="467C4DAF"/>
    <w:rsid w:val="46A241A8"/>
    <w:rsid w:val="46C027C2"/>
    <w:rsid w:val="46F56910"/>
    <w:rsid w:val="4780267D"/>
    <w:rsid w:val="479003E6"/>
    <w:rsid w:val="47B75973"/>
    <w:rsid w:val="47FE7A46"/>
    <w:rsid w:val="488D2E3D"/>
    <w:rsid w:val="48B23A9D"/>
    <w:rsid w:val="49616D88"/>
    <w:rsid w:val="49AE519A"/>
    <w:rsid w:val="4A1D0657"/>
    <w:rsid w:val="4A32403C"/>
    <w:rsid w:val="4A431740"/>
    <w:rsid w:val="4AA002CD"/>
    <w:rsid w:val="4AC2284F"/>
    <w:rsid w:val="4B117A90"/>
    <w:rsid w:val="4B2772B4"/>
    <w:rsid w:val="4B6422B6"/>
    <w:rsid w:val="4BA206E8"/>
    <w:rsid w:val="4CB61325"/>
    <w:rsid w:val="4D096C71"/>
    <w:rsid w:val="4D176431"/>
    <w:rsid w:val="4DE11856"/>
    <w:rsid w:val="4DEC71DA"/>
    <w:rsid w:val="4DF427F7"/>
    <w:rsid w:val="4E192EE4"/>
    <w:rsid w:val="4E4A3AEA"/>
    <w:rsid w:val="4E58553D"/>
    <w:rsid w:val="4E5E3B4D"/>
    <w:rsid w:val="4F6603AB"/>
    <w:rsid w:val="500A556F"/>
    <w:rsid w:val="507A2463"/>
    <w:rsid w:val="50F33EC0"/>
    <w:rsid w:val="50F4335A"/>
    <w:rsid w:val="51267992"/>
    <w:rsid w:val="51340035"/>
    <w:rsid w:val="5149784B"/>
    <w:rsid w:val="51534A93"/>
    <w:rsid w:val="516C3C72"/>
    <w:rsid w:val="519913D9"/>
    <w:rsid w:val="51D44CC8"/>
    <w:rsid w:val="525939FB"/>
    <w:rsid w:val="528D5C4E"/>
    <w:rsid w:val="529E7E5B"/>
    <w:rsid w:val="52A66D10"/>
    <w:rsid w:val="532103EE"/>
    <w:rsid w:val="532C36B9"/>
    <w:rsid w:val="536E5A80"/>
    <w:rsid w:val="537B63EF"/>
    <w:rsid w:val="5391176E"/>
    <w:rsid w:val="53CE29C2"/>
    <w:rsid w:val="540B7773"/>
    <w:rsid w:val="54AD6B1C"/>
    <w:rsid w:val="54BB6C00"/>
    <w:rsid w:val="54BE5581"/>
    <w:rsid w:val="54FE4BE1"/>
    <w:rsid w:val="55592760"/>
    <w:rsid w:val="56010E2D"/>
    <w:rsid w:val="561F3061"/>
    <w:rsid w:val="561F6358"/>
    <w:rsid w:val="5621278F"/>
    <w:rsid w:val="56245FEB"/>
    <w:rsid w:val="564058B3"/>
    <w:rsid w:val="568B60BC"/>
    <w:rsid w:val="56927CD7"/>
    <w:rsid w:val="569A4794"/>
    <w:rsid w:val="573A572B"/>
    <w:rsid w:val="57EA3B43"/>
    <w:rsid w:val="585B059D"/>
    <w:rsid w:val="58DD6A1A"/>
    <w:rsid w:val="590D7691"/>
    <w:rsid w:val="59804C5F"/>
    <w:rsid w:val="59A3044D"/>
    <w:rsid w:val="59A7691F"/>
    <w:rsid w:val="59D56BA9"/>
    <w:rsid w:val="5A5F25C6"/>
    <w:rsid w:val="5AD05272"/>
    <w:rsid w:val="5B175BE2"/>
    <w:rsid w:val="5B562F03"/>
    <w:rsid w:val="5B7025B1"/>
    <w:rsid w:val="5C475B3F"/>
    <w:rsid w:val="5C525469"/>
    <w:rsid w:val="5CBD1826"/>
    <w:rsid w:val="5D2570A5"/>
    <w:rsid w:val="5D2E44D2"/>
    <w:rsid w:val="5D5D0C48"/>
    <w:rsid w:val="5DED1DA0"/>
    <w:rsid w:val="5DF70D68"/>
    <w:rsid w:val="5E50589D"/>
    <w:rsid w:val="5F920624"/>
    <w:rsid w:val="5F950838"/>
    <w:rsid w:val="5FCA04E2"/>
    <w:rsid w:val="5FCE4F4E"/>
    <w:rsid w:val="60934D78"/>
    <w:rsid w:val="60E23609"/>
    <w:rsid w:val="611539DF"/>
    <w:rsid w:val="614B7400"/>
    <w:rsid w:val="615F10FE"/>
    <w:rsid w:val="61B770EF"/>
    <w:rsid w:val="61C3168D"/>
    <w:rsid w:val="61E17D65"/>
    <w:rsid w:val="62001654"/>
    <w:rsid w:val="62483394"/>
    <w:rsid w:val="6287471B"/>
    <w:rsid w:val="630C0E11"/>
    <w:rsid w:val="632D4A46"/>
    <w:rsid w:val="63340F61"/>
    <w:rsid w:val="63647A76"/>
    <w:rsid w:val="637214ED"/>
    <w:rsid w:val="63C65464"/>
    <w:rsid w:val="656D646C"/>
    <w:rsid w:val="65DF280D"/>
    <w:rsid w:val="65E53207"/>
    <w:rsid w:val="663D12E2"/>
    <w:rsid w:val="66552ACF"/>
    <w:rsid w:val="672D1356"/>
    <w:rsid w:val="676254A4"/>
    <w:rsid w:val="67C577E1"/>
    <w:rsid w:val="67F500C6"/>
    <w:rsid w:val="68872304"/>
    <w:rsid w:val="689C49E5"/>
    <w:rsid w:val="69210FE6"/>
    <w:rsid w:val="69232A11"/>
    <w:rsid w:val="692A0243"/>
    <w:rsid w:val="6980444F"/>
    <w:rsid w:val="69AE05F6"/>
    <w:rsid w:val="69C42668"/>
    <w:rsid w:val="69E14E70"/>
    <w:rsid w:val="69F450A7"/>
    <w:rsid w:val="69FF522C"/>
    <w:rsid w:val="6A0A3B59"/>
    <w:rsid w:val="6A0F7115"/>
    <w:rsid w:val="6AF705F9"/>
    <w:rsid w:val="6BE24E05"/>
    <w:rsid w:val="6BFD3747"/>
    <w:rsid w:val="6C3F1FCF"/>
    <w:rsid w:val="6C4B3FAF"/>
    <w:rsid w:val="6C5D623A"/>
    <w:rsid w:val="6D0843F7"/>
    <w:rsid w:val="6D192AA9"/>
    <w:rsid w:val="6D655CEE"/>
    <w:rsid w:val="6D7F2338"/>
    <w:rsid w:val="6D877A12"/>
    <w:rsid w:val="6DF826BE"/>
    <w:rsid w:val="6E25722B"/>
    <w:rsid w:val="6E727F2E"/>
    <w:rsid w:val="6E8C1AD3"/>
    <w:rsid w:val="6F366DF0"/>
    <w:rsid w:val="6F3B4F17"/>
    <w:rsid w:val="6F4162E7"/>
    <w:rsid w:val="6FD1766A"/>
    <w:rsid w:val="6FE07045"/>
    <w:rsid w:val="7090341F"/>
    <w:rsid w:val="70ED2C38"/>
    <w:rsid w:val="715220E5"/>
    <w:rsid w:val="71771B4C"/>
    <w:rsid w:val="71A812B9"/>
    <w:rsid w:val="71DC056D"/>
    <w:rsid w:val="720954B6"/>
    <w:rsid w:val="72426F0E"/>
    <w:rsid w:val="72600832"/>
    <w:rsid w:val="72AD31A0"/>
    <w:rsid w:val="72BC6586"/>
    <w:rsid w:val="72D1172F"/>
    <w:rsid w:val="72FC49FE"/>
    <w:rsid w:val="73125FD0"/>
    <w:rsid w:val="733B199F"/>
    <w:rsid w:val="73583D9B"/>
    <w:rsid w:val="73933020"/>
    <w:rsid w:val="73BB6668"/>
    <w:rsid w:val="73C05A2C"/>
    <w:rsid w:val="749F7495"/>
    <w:rsid w:val="74E53270"/>
    <w:rsid w:val="752D5343"/>
    <w:rsid w:val="75DF5F11"/>
    <w:rsid w:val="75EF084A"/>
    <w:rsid w:val="76566E88"/>
    <w:rsid w:val="766823AB"/>
    <w:rsid w:val="7711659E"/>
    <w:rsid w:val="776B5CAF"/>
    <w:rsid w:val="779571D0"/>
    <w:rsid w:val="779C4BA0"/>
    <w:rsid w:val="77B86A77"/>
    <w:rsid w:val="77C57139"/>
    <w:rsid w:val="77C701C7"/>
    <w:rsid w:val="781F06D2"/>
    <w:rsid w:val="78520C1D"/>
    <w:rsid w:val="78803059"/>
    <w:rsid w:val="788259A6"/>
    <w:rsid w:val="78F66A4A"/>
    <w:rsid w:val="790B47EF"/>
    <w:rsid w:val="795310F0"/>
    <w:rsid w:val="797177C8"/>
    <w:rsid w:val="79876FEC"/>
    <w:rsid w:val="7A0D74F1"/>
    <w:rsid w:val="7A1A1600"/>
    <w:rsid w:val="7A543372"/>
    <w:rsid w:val="7A6A4943"/>
    <w:rsid w:val="7A8157E9"/>
    <w:rsid w:val="7AD77586"/>
    <w:rsid w:val="7AD85D51"/>
    <w:rsid w:val="7AFD4C76"/>
    <w:rsid w:val="7B2168A6"/>
    <w:rsid w:val="7B9D2AF7"/>
    <w:rsid w:val="7BDA6836"/>
    <w:rsid w:val="7C3A0345"/>
    <w:rsid w:val="7C541407"/>
    <w:rsid w:val="7C6929D9"/>
    <w:rsid w:val="7C991510"/>
    <w:rsid w:val="7CF14EA8"/>
    <w:rsid w:val="7D4059B8"/>
    <w:rsid w:val="7DE1061C"/>
    <w:rsid w:val="7E394D59"/>
    <w:rsid w:val="7EAA0717"/>
    <w:rsid w:val="7F007624"/>
    <w:rsid w:val="7F437511"/>
    <w:rsid w:val="7F4C44C4"/>
    <w:rsid w:val="7F5A2649"/>
    <w:rsid w:val="7F5B485B"/>
    <w:rsid w:val="7F69797B"/>
    <w:rsid w:val="7F6C2F0C"/>
    <w:rsid w:val="7F774E36"/>
    <w:rsid w:val="7FCB5E84"/>
    <w:rsid w:val="EF3F81F4"/>
    <w:rsid w:val="FFFED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link w:val="14"/>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widowControl w:val="0"/>
      <w:jc w:val="center"/>
      <w:outlineLvl w:val="0"/>
    </w:pPr>
    <w:rPr>
      <w:rFonts w:ascii="Arial" w:hAnsi="Arial" w:eastAsia="宋体" w:cs="Times New Roman"/>
      <w:b/>
      <w:kern w:val="2"/>
      <w:sz w:val="32"/>
      <w:szCs w:val="24"/>
      <w:lang w:val="en-US" w:eastAsia="zh-CN" w:bidi="ar-SA"/>
    </w:rPr>
  </w:style>
  <w:style w:type="paragraph" w:styleId="3">
    <w:name w:val="Body Text Indent"/>
    <w:basedOn w:val="1"/>
    <w:next w:val="4"/>
    <w:qFormat/>
    <w:uiPriority w:val="0"/>
    <w:pPr>
      <w:spacing w:after="120"/>
      <w:ind w:left="420" w:leftChars="200"/>
      <w:jc w:val="left"/>
    </w:pPr>
    <w:rPr>
      <w:rFonts w:hint="eastAsia" w:ascii="宋体" w:hAnsi="宋体"/>
      <w:kern w:val="0"/>
      <w:sz w:val="24"/>
    </w:rPr>
  </w:style>
  <w:style w:type="paragraph" w:styleId="4">
    <w:name w:val="toc 2"/>
    <w:basedOn w:val="1"/>
    <w:next w:val="1"/>
    <w:qFormat/>
    <w:uiPriority w:val="0"/>
    <w:pPr>
      <w:widowControl w:val="0"/>
      <w:ind w:left="420"/>
      <w:jc w:val="center"/>
    </w:pPr>
    <w:rPr>
      <w:rFonts w:ascii="黑体" w:hAnsi="Calibri" w:eastAsia="黑体" w:cs="Times New Roman"/>
      <w:kern w:val="2"/>
      <w:sz w:val="32"/>
      <w:szCs w:val="32"/>
      <w:lang w:val="en-US" w:eastAsia="zh-CN" w:bidi="ar-SA"/>
    </w:rPr>
  </w:style>
  <w:style w:type="paragraph" w:styleId="6">
    <w:name w:val="Body Text"/>
    <w:basedOn w:val="1"/>
    <w:link w:val="15"/>
    <w:unhideWhenUsed/>
    <w:qFormat/>
    <w:uiPriority w:val="1"/>
    <w:pPr>
      <w:spacing w:after="120"/>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2"/>
    <w:basedOn w:val="3"/>
    <w:qFormat/>
    <w:uiPriority w:val="0"/>
    <w:pPr>
      <w:ind w:firstLine="42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字符"/>
    <w:basedOn w:val="13"/>
    <w:link w:val="5"/>
    <w:qFormat/>
    <w:uiPriority w:val="0"/>
    <w:rPr>
      <w:rFonts w:ascii="楷体" w:hAnsi="楷体" w:eastAsia="楷体" w:cs="楷体"/>
      <w:b/>
      <w:bCs/>
      <w:sz w:val="32"/>
      <w:szCs w:val="32"/>
      <w:lang w:val="zh-CN" w:bidi="zh-CN"/>
    </w:rPr>
  </w:style>
  <w:style w:type="character" w:customStyle="1" w:styleId="15">
    <w:name w:val="正文文本 字符"/>
    <w:basedOn w:val="13"/>
    <w:link w:val="6"/>
    <w:qFormat/>
    <w:uiPriority w:val="0"/>
    <w:rPr>
      <w:rFonts w:hint="eastAsia" w:ascii="仿宋" w:hAnsi="仿宋" w:eastAsia="仿宋" w:cs="仿宋"/>
      <w:sz w:val="32"/>
      <w:szCs w:val="32"/>
      <w:lang w:val="zh-CN" w:bidi="zh-CN"/>
    </w:rPr>
  </w:style>
  <w:style w:type="character" w:customStyle="1" w:styleId="16">
    <w:name w:val="页脚 字符"/>
    <w:basedOn w:val="13"/>
    <w:link w:val="7"/>
    <w:qFormat/>
    <w:uiPriority w:val="0"/>
    <w:rPr>
      <w:rFonts w:ascii="Calibri" w:hAnsi="Calibri"/>
      <w:kern w:val="2"/>
      <w:sz w:val="18"/>
      <w:szCs w:val="18"/>
    </w:rPr>
  </w:style>
  <w:style w:type="character" w:customStyle="1" w:styleId="17">
    <w:name w:val="页眉 字符"/>
    <w:basedOn w:val="13"/>
    <w:link w:val="8"/>
    <w:qFormat/>
    <w:uiPriority w:val="0"/>
    <w:rPr>
      <w:rFonts w:ascii="Calibri" w:hAnsi="Calibri"/>
      <w:kern w:val="2"/>
      <w:sz w:val="18"/>
      <w:szCs w:val="18"/>
    </w:rPr>
  </w:style>
  <w:style w:type="paragraph" w:customStyle="1" w:styleId="18">
    <w:name w:val="msolistparagraph"/>
    <w:basedOn w:val="1"/>
    <w:qFormat/>
    <w:uiPriority w:val="0"/>
    <w:pPr>
      <w:widowControl/>
      <w:spacing w:before="120" w:after="240"/>
      <w:ind w:left="211" w:firstLine="640"/>
    </w:pPr>
    <w:rPr>
      <w:rFonts w:hint="eastAsia" w:ascii="仿宋" w:hAnsi="仿宋" w:eastAsia="仿宋"/>
      <w:kern w:val="0"/>
      <w:sz w:val="22"/>
      <w:szCs w:val="22"/>
    </w:rPr>
  </w:style>
  <w:style w:type="paragraph" w:customStyle="1" w:styleId="19">
    <w:name w:val="Table Paragraph"/>
    <w:basedOn w:val="1"/>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3670</Words>
  <Characters>3937</Characters>
  <Lines>60</Lines>
  <Paragraphs>17</Paragraphs>
  <TotalTime>70</TotalTime>
  <ScaleCrop>false</ScaleCrop>
  <LinksUpToDate>false</LinksUpToDate>
  <CharactersWithSpaces>3946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2025-04-07T21:34:00Z</dcterms:created>
  <dc:creator>606N</dc:creator>
  <cp:lastModifiedBy>刘超</cp:lastModifiedBy>
  <dcterms:modified xsi:type="dcterms:W3CDTF">2025-02-11T09:31:13Z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F6106FBD1161458D829B05226E84BCD9_13</vt:lpwstr>
  </property>
  <property fmtid="{D5CDD505-2E9C-101B-9397-08002B2CF9AE}" pid="4" name="KSOTemplateDocerSaveRecord">
    <vt:lpwstr>eyJoZGlkIjoiZmJiNThkNDQ2MjYyODlmMjJkZDBhOGJiZmNiMDM0MTAiLCJ1c2VySWQiOiIyNjUzMjg4MTcifQ==</vt:lpwstr>
  </property>
</Properties>
</file>