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6E188">
      <w:pPr>
        <w:ind w:firstLine="640" w:firstLineChars="200"/>
        <w:rPr>
          <w:sz w:val="32"/>
          <w:szCs w:val="32"/>
        </w:rPr>
      </w:pPr>
    </w:p>
    <w:p w14:paraId="59670CED">
      <w:pPr>
        <w:spacing w:line="560" w:lineRule="exact"/>
        <w:jc w:val="center"/>
        <w:rPr>
          <w:rFonts w:ascii="宋体" w:hAnsi="宋体"/>
          <w:b/>
          <w:sz w:val="44"/>
          <w:szCs w:val="44"/>
        </w:rPr>
      </w:pPr>
    </w:p>
    <w:p w14:paraId="6167B6DD">
      <w:pPr>
        <w:spacing w:line="560" w:lineRule="exact"/>
        <w:jc w:val="center"/>
        <w:rPr>
          <w:rFonts w:ascii="宋体" w:hAnsi="宋体"/>
          <w:b/>
          <w:sz w:val="44"/>
          <w:szCs w:val="44"/>
        </w:rPr>
      </w:pPr>
    </w:p>
    <w:p w14:paraId="62DF2329">
      <w:pPr>
        <w:spacing w:line="600" w:lineRule="exact"/>
        <w:jc w:val="center"/>
        <w:rPr>
          <w:rFonts w:hint="eastAsia" w:ascii="仿宋" w:hAnsi="仿宋" w:eastAsia="仿宋" w:cs="仿宋"/>
          <w:b/>
          <w:bCs/>
          <w:sz w:val="44"/>
          <w:szCs w:val="44"/>
        </w:rPr>
      </w:pPr>
      <w:r>
        <w:rPr>
          <w:rFonts w:hint="eastAsia" w:ascii="仿宋" w:hAnsi="仿宋" w:eastAsia="仿宋" w:cs="仿宋"/>
          <w:b/>
          <w:bCs/>
          <w:sz w:val="44"/>
          <w:szCs w:val="44"/>
        </w:rPr>
        <w:t>乌海市药物警戒中心</w:t>
      </w:r>
    </w:p>
    <w:p w14:paraId="2554C4CC">
      <w:pPr>
        <w:spacing w:line="600" w:lineRule="exact"/>
        <w:jc w:val="center"/>
        <w:rPr>
          <w:rFonts w:hint="eastAsia" w:ascii="仿宋" w:hAnsi="仿宋" w:eastAsia="仿宋" w:cs="仿宋"/>
          <w:b/>
          <w:bCs/>
          <w:sz w:val="44"/>
          <w:szCs w:val="44"/>
        </w:rPr>
      </w:pPr>
      <w:r>
        <w:rPr>
          <w:rFonts w:hint="eastAsia" w:ascii="仿宋" w:hAnsi="仿宋" w:eastAsia="仿宋" w:cs="仿宋"/>
          <w:b/>
          <w:bCs/>
          <w:sz w:val="44"/>
          <w:szCs w:val="44"/>
        </w:rPr>
        <w:t>2025年预算公开报告</w:t>
      </w:r>
    </w:p>
    <w:p w14:paraId="400E84F9">
      <w:pPr>
        <w:spacing w:line="336" w:lineRule="auto"/>
        <w:jc w:val="center"/>
        <w:rPr>
          <w:rFonts w:ascii="方正小标宋简体" w:eastAsia="方正小标宋简体"/>
          <w:sz w:val="32"/>
          <w:szCs w:val="32"/>
        </w:rPr>
      </w:pPr>
    </w:p>
    <w:p w14:paraId="08102D83">
      <w:pPr>
        <w:spacing w:line="336" w:lineRule="auto"/>
        <w:jc w:val="center"/>
        <w:rPr>
          <w:rFonts w:ascii="方正小标宋简体" w:eastAsia="方正小标宋简体"/>
          <w:sz w:val="32"/>
          <w:szCs w:val="32"/>
        </w:rPr>
      </w:pPr>
    </w:p>
    <w:p w14:paraId="6FAEA107">
      <w:pPr>
        <w:spacing w:line="336" w:lineRule="auto"/>
        <w:jc w:val="center"/>
        <w:rPr>
          <w:rFonts w:ascii="方正小标宋简体" w:eastAsia="方正小标宋简体"/>
          <w:sz w:val="32"/>
          <w:szCs w:val="32"/>
        </w:rPr>
      </w:pPr>
    </w:p>
    <w:p w14:paraId="19646A5A">
      <w:pPr>
        <w:spacing w:line="336" w:lineRule="auto"/>
        <w:jc w:val="center"/>
        <w:rPr>
          <w:rFonts w:ascii="方正小标宋简体" w:eastAsia="方正小标宋简体"/>
          <w:sz w:val="32"/>
          <w:szCs w:val="32"/>
        </w:rPr>
      </w:pPr>
    </w:p>
    <w:p w14:paraId="3C50CC3F">
      <w:pPr>
        <w:spacing w:line="336" w:lineRule="auto"/>
        <w:jc w:val="center"/>
        <w:rPr>
          <w:rFonts w:ascii="方正小标宋简体" w:eastAsia="方正小标宋简体"/>
          <w:sz w:val="32"/>
          <w:szCs w:val="32"/>
        </w:rPr>
      </w:pPr>
    </w:p>
    <w:p w14:paraId="02B866A8">
      <w:pPr>
        <w:spacing w:line="336" w:lineRule="auto"/>
        <w:jc w:val="center"/>
        <w:rPr>
          <w:rFonts w:ascii="方正小标宋简体" w:eastAsia="方正小标宋简体"/>
          <w:sz w:val="32"/>
          <w:szCs w:val="32"/>
        </w:rPr>
      </w:pPr>
    </w:p>
    <w:p w14:paraId="7746DF5E">
      <w:pPr>
        <w:spacing w:line="336" w:lineRule="auto"/>
        <w:jc w:val="center"/>
        <w:rPr>
          <w:rFonts w:ascii="方正小标宋简体" w:eastAsia="方正小标宋简体"/>
          <w:sz w:val="32"/>
          <w:szCs w:val="32"/>
        </w:rPr>
      </w:pPr>
    </w:p>
    <w:p w14:paraId="74F41D06">
      <w:pPr>
        <w:spacing w:line="336" w:lineRule="auto"/>
        <w:rPr>
          <w:rFonts w:ascii="方正小标宋简体" w:eastAsia="方正小标宋简体"/>
          <w:sz w:val="32"/>
          <w:szCs w:val="32"/>
        </w:rPr>
      </w:pPr>
    </w:p>
    <w:p w14:paraId="540A541B">
      <w:pPr>
        <w:spacing w:line="336" w:lineRule="auto"/>
        <w:jc w:val="center"/>
        <w:rPr>
          <w:rFonts w:ascii="方正小标宋简体" w:eastAsia="方正小标宋简体"/>
          <w:sz w:val="32"/>
          <w:szCs w:val="32"/>
        </w:rPr>
      </w:pPr>
    </w:p>
    <w:p w14:paraId="2B49836D">
      <w:pPr>
        <w:spacing w:line="336" w:lineRule="auto"/>
        <w:jc w:val="center"/>
        <w:rPr>
          <w:rFonts w:ascii="方正小标宋简体" w:eastAsia="方正小标宋简体"/>
          <w:sz w:val="32"/>
          <w:szCs w:val="32"/>
        </w:rPr>
      </w:pPr>
    </w:p>
    <w:p w14:paraId="3E43AA7D">
      <w:pPr>
        <w:spacing w:line="336" w:lineRule="auto"/>
        <w:jc w:val="center"/>
        <w:rPr>
          <w:rFonts w:ascii="方正小标宋简体" w:eastAsia="方正小标宋简体"/>
          <w:sz w:val="32"/>
          <w:szCs w:val="32"/>
        </w:rPr>
      </w:pPr>
    </w:p>
    <w:p w14:paraId="44F05899">
      <w:pPr>
        <w:spacing w:line="336" w:lineRule="auto"/>
        <w:jc w:val="center"/>
        <w:rPr>
          <w:rFonts w:ascii="方正小标宋简体" w:eastAsia="方正小标宋简体"/>
          <w:sz w:val="32"/>
          <w:szCs w:val="32"/>
        </w:rPr>
      </w:pPr>
    </w:p>
    <w:p w14:paraId="5383C198">
      <w:pPr>
        <w:spacing w:line="336" w:lineRule="auto"/>
        <w:jc w:val="center"/>
        <w:rPr>
          <w:rFonts w:ascii="方正小标宋简体" w:eastAsia="方正小标宋简体"/>
          <w:sz w:val="32"/>
          <w:szCs w:val="32"/>
        </w:rPr>
      </w:pPr>
    </w:p>
    <w:p w14:paraId="00A6C029">
      <w:pPr>
        <w:adjustRightInd w:val="0"/>
        <w:snapToGrid w:val="0"/>
        <w:spacing w:line="360" w:lineRule="auto"/>
        <w:ind w:firstLine="640"/>
        <w:rPr>
          <w:rFonts w:ascii="仿宋" w:hAnsi="仿宋" w:eastAsia="仿宋"/>
          <w:sz w:val="32"/>
          <w:szCs w:val="32"/>
          <w:u w:val="none"/>
        </w:rPr>
      </w:pPr>
    </w:p>
    <w:p w14:paraId="18269381">
      <w:pPr>
        <w:adjustRightInd w:val="0"/>
        <w:snapToGrid w:val="0"/>
        <w:spacing w:line="360" w:lineRule="auto"/>
        <w:jc w:val="center"/>
        <w:rPr>
          <w:rFonts w:ascii="黑体" w:hAnsi="黑体" w:eastAsia="黑体" w:cs="黑体"/>
          <w:kern w:val="0"/>
          <w:sz w:val="32"/>
          <w:szCs w:val="32"/>
          <w:u w:val="none"/>
        </w:rPr>
      </w:pPr>
      <w:r>
        <w:rPr>
          <w:rFonts w:hint="eastAsia" w:ascii="黑体" w:hAnsi="黑体" w:eastAsia="黑体" w:cs="黑体"/>
          <w:kern w:val="0"/>
          <w:sz w:val="32"/>
          <w:szCs w:val="32"/>
          <w:u w:val="none"/>
        </w:rPr>
        <w:t>批复时间：2025年2月</w:t>
      </w:r>
      <w:r>
        <w:rPr>
          <w:rFonts w:hint="eastAsia" w:ascii="黑体" w:hAnsi="黑体" w:eastAsia="黑体" w:cs="黑体"/>
          <w:kern w:val="0"/>
          <w:sz w:val="32"/>
          <w:szCs w:val="32"/>
          <w:u w:val="none"/>
          <w:lang w:val="en-US" w:eastAsia="zh-CN"/>
        </w:rPr>
        <w:t>5</w:t>
      </w:r>
      <w:r>
        <w:rPr>
          <w:rFonts w:hint="eastAsia" w:ascii="黑体" w:hAnsi="黑体" w:eastAsia="黑体" w:cs="黑体"/>
          <w:kern w:val="0"/>
          <w:sz w:val="32"/>
          <w:szCs w:val="32"/>
          <w:u w:val="none"/>
        </w:rPr>
        <w:t>日</w:t>
      </w:r>
    </w:p>
    <w:p w14:paraId="1AF56E98">
      <w:pPr>
        <w:pStyle w:val="10"/>
        <w:spacing w:after="0"/>
        <w:ind w:left="0" w:leftChars="0" w:firstLine="0"/>
        <w:jc w:val="center"/>
        <w:rPr>
          <w:rFonts w:hint="default"/>
          <w:b/>
          <w:sz w:val="44"/>
          <w:szCs w:val="44"/>
          <w:u w:val="none"/>
        </w:rPr>
      </w:pPr>
      <w:r>
        <w:rPr>
          <w:rFonts w:ascii="黑体" w:hAnsi="黑体" w:eastAsia="黑体" w:cs="黑体"/>
          <w:sz w:val="32"/>
          <w:szCs w:val="32"/>
          <w:u w:val="none"/>
        </w:rPr>
        <w:t xml:space="preserve"> 公开时间：2025年2月</w:t>
      </w:r>
      <w:r>
        <w:rPr>
          <w:rFonts w:hint="eastAsia" w:ascii="黑体" w:hAnsi="黑体" w:eastAsia="黑体" w:cs="黑体"/>
          <w:sz w:val="32"/>
          <w:szCs w:val="32"/>
          <w:u w:val="none"/>
          <w:lang w:val="en-US" w:eastAsia="zh-CN"/>
        </w:rPr>
        <w:t>12</w:t>
      </w:r>
      <w:r>
        <w:rPr>
          <w:rFonts w:ascii="黑体" w:hAnsi="黑体" w:eastAsia="黑体" w:cs="黑体"/>
          <w:sz w:val="32"/>
          <w:szCs w:val="32"/>
          <w:u w:val="none"/>
        </w:rPr>
        <w:t>日</w:t>
      </w:r>
    </w:p>
    <w:p w14:paraId="54A07B12">
      <w:pPr>
        <w:pageBreakBefore/>
        <w:tabs>
          <w:tab w:val="left" w:pos="4533"/>
        </w:tabs>
        <w:adjustRightInd w:val="0"/>
        <w:snapToGrid w:val="0"/>
        <w:spacing w:line="600" w:lineRule="exact"/>
        <w:jc w:val="center"/>
        <w:rPr>
          <w:rFonts w:ascii="Times New Roman" w:hAnsi="Times New Roman" w:eastAsia="Courier New"/>
          <w:sz w:val="44"/>
          <w:szCs w:val="44"/>
        </w:rPr>
      </w:pPr>
      <w:r>
        <w:rPr>
          <w:rFonts w:hint="eastAsia" w:ascii="Times New Roman" w:hAnsi="Times New Roman" w:eastAsia="Courier New"/>
          <w:sz w:val="44"/>
          <w:szCs w:val="44"/>
        </w:rPr>
        <w:t>目录</w:t>
      </w:r>
    </w:p>
    <w:p w14:paraId="2B9E4C6D">
      <w:pPr>
        <w:widowControl/>
        <w:spacing w:line="600" w:lineRule="exact"/>
        <w:ind w:firstLine="640" w:firstLineChars="200"/>
        <w:jc w:val="left"/>
        <w:rPr>
          <w:rFonts w:ascii="仿宋_GB2312" w:hAnsi="仿宋" w:eastAsia="仿宋_GB2312" w:cs="仿宋"/>
          <w:kern w:val="0"/>
          <w:sz w:val="32"/>
          <w:szCs w:val="32"/>
          <w:lang w:bidi="ar"/>
        </w:rPr>
      </w:pPr>
    </w:p>
    <w:p w14:paraId="72E6BC86">
      <w:pPr>
        <w:widowControl/>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第一部分 单位概况</w:t>
      </w:r>
    </w:p>
    <w:p w14:paraId="18DB5319">
      <w:pPr>
        <w:widowControl/>
        <w:spacing w:line="360" w:lineRule="auto"/>
        <w:ind w:firstLine="608" w:firstLineChars="200"/>
        <w:jc w:val="left"/>
        <w:rPr>
          <w:rFonts w:ascii="Times New Roman" w:hAnsi="Times New Roman" w:eastAsia="仿宋_GB2312" w:cs="仿宋"/>
          <w:w w:val="95"/>
          <w:sz w:val="32"/>
          <w:szCs w:val="32"/>
        </w:rPr>
      </w:pPr>
      <w:r>
        <w:rPr>
          <w:rFonts w:hint="eastAsia" w:ascii="Times New Roman" w:hAnsi="Times New Roman" w:eastAsia="仿宋_GB2312" w:cs="仿宋"/>
          <w:w w:val="95"/>
          <w:sz w:val="32"/>
          <w:szCs w:val="32"/>
        </w:rPr>
        <w:t>一、单位主要职能、职责</w:t>
      </w:r>
    </w:p>
    <w:p w14:paraId="310FA7A5">
      <w:pPr>
        <w:widowControl/>
        <w:spacing w:line="360" w:lineRule="auto"/>
        <w:ind w:firstLine="608" w:firstLineChars="200"/>
        <w:jc w:val="left"/>
        <w:rPr>
          <w:rFonts w:ascii="Times New Roman" w:hAnsi="Times New Roman" w:eastAsia="仿宋_GB2312" w:cs="仿宋"/>
          <w:w w:val="95"/>
          <w:sz w:val="32"/>
          <w:szCs w:val="32"/>
        </w:rPr>
      </w:pPr>
      <w:r>
        <w:rPr>
          <w:rFonts w:hint="eastAsia" w:ascii="Times New Roman" w:hAnsi="Times New Roman" w:eastAsia="仿宋_GB2312" w:cs="仿宋"/>
          <w:w w:val="95"/>
          <w:sz w:val="32"/>
          <w:szCs w:val="32"/>
        </w:rPr>
        <w:t>二、机构设置及预算单位构成情况</w:t>
      </w:r>
    </w:p>
    <w:p w14:paraId="409F3C4F">
      <w:pPr>
        <w:pStyle w:val="3"/>
        <w:spacing w:after="0" w:line="600" w:lineRule="exact"/>
        <w:ind w:firstLine="608" w:firstLineChars="200"/>
        <w:rPr>
          <w:rFonts w:ascii="Times New Roman" w:hAnsi="Times New Roman" w:eastAsia="仿宋_GB2312" w:cs="仿宋"/>
          <w:w w:val="95"/>
          <w:sz w:val="32"/>
          <w:szCs w:val="32"/>
        </w:rPr>
      </w:pPr>
      <w:r>
        <w:rPr>
          <w:rFonts w:hint="eastAsia" w:ascii="Times New Roman" w:hAnsi="Times New Roman" w:eastAsia="仿宋_GB2312" w:cs="仿宋"/>
          <w:w w:val="95"/>
          <w:sz w:val="32"/>
          <w:szCs w:val="32"/>
        </w:rPr>
        <w:t>三、2025年度单位主要工作任务及目标</w:t>
      </w:r>
    </w:p>
    <w:p w14:paraId="37D97499">
      <w:pPr>
        <w:widowControl/>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第二部分 2025年</w:t>
      </w:r>
      <w:r>
        <w:rPr>
          <w:rFonts w:hint="eastAsia" w:ascii="黑体" w:hAnsi="黑体" w:eastAsia="黑体" w:cs="黑体"/>
          <w:sz w:val="32"/>
          <w:szCs w:val="32"/>
          <w:lang w:val="en-US" w:eastAsia="zh-CN"/>
        </w:rPr>
        <w:t>单位</w:t>
      </w:r>
      <w:r>
        <w:rPr>
          <w:rFonts w:hint="eastAsia" w:ascii="黑体" w:hAnsi="黑体" w:eastAsia="黑体" w:cs="黑体"/>
          <w:sz w:val="32"/>
          <w:szCs w:val="32"/>
        </w:rPr>
        <w:t>预算安排情况说明</w:t>
      </w:r>
    </w:p>
    <w:p w14:paraId="2C5AD984">
      <w:pPr>
        <w:pStyle w:val="3"/>
        <w:spacing w:after="0" w:line="360" w:lineRule="auto"/>
        <w:ind w:firstLine="640" w:firstLineChars="200"/>
        <w:rPr>
          <w:rFonts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en-US" w:eastAsia="zh-CN"/>
        </w:rPr>
        <w:t>单位</w:t>
      </w:r>
      <w:r>
        <w:rPr>
          <w:rFonts w:hint="eastAsia" w:ascii="仿宋" w:hAnsi="仿宋" w:eastAsia="仿宋" w:cs="仿宋"/>
          <w:sz w:val="32"/>
          <w:szCs w:val="32"/>
        </w:rPr>
        <w:t>预算收支总体情况说明</w:t>
      </w:r>
    </w:p>
    <w:p w14:paraId="34575ED1">
      <w:pPr>
        <w:pStyle w:val="3"/>
        <w:spacing w:after="0" w:line="360" w:lineRule="auto"/>
        <w:ind w:firstLine="640" w:firstLineChars="200"/>
        <w:rPr>
          <w:rFonts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val="en-US" w:eastAsia="zh-CN"/>
        </w:rPr>
        <w:t>单位</w:t>
      </w:r>
      <w:r>
        <w:rPr>
          <w:rFonts w:hint="eastAsia" w:ascii="仿宋" w:hAnsi="仿宋" w:eastAsia="仿宋" w:cs="仿宋"/>
          <w:sz w:val="32"/>
          <w:szCs w:val="32"/>
        </w:rPr>
        <w:t>收入预算情况说明</w:t>
      </w:r>
    </w:p>
    <w:p w14:paraId="16DD44CE">
      <w:pPr>
        <w:pStyle w:val="3"/>
        <w:spacing w:after="0" w:line="360" w:lineRule="auto"/>
        <w:ind w:firstLine="640" w:firstLineChars="200"/>
        <w:rPr>
          <w:rFonts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val="en-US" w:eastAsia="zh-CN"/>
        </w:rPr>
        <w:t>单位</w:t>
      </w:r>
      <w:r>
        <w:rPr>
          <w:rFonts w:hint="eastAsia" w:ascii="仿宋" w:hAnsi="仿宋" w:eastAsia="仿宋" w:cs="仿宋"/>
          <w:sz w:val="32"/>
          <w:szCs w:val="32"/>
        </w:rPr>
        <w:t>支出预算情况说明</w:t>
      </w:r>
    </w:p>
    <w:p w14:paraId="41A55440">
      <w:pPr>
        <w:pStyle w:val="3"/>
        <w:spacing w:after="0" w:line="360" w:lineRule="auto"/>
        <w:ind w:firstLine="640" w:firstLineChars="200"/>
        <w:rPr>
          <w:rFonts w:ascii="仿宋" w:hAnsi="仿宋" w:eastAsia="仿宋" w:cs="仿宋"/>
          <w:sz w:val="32"/>
          <w:szCs w:val="32"/>
        </w:rPr>
      </w:pPr>
      <w:r>
        <w:rPr>
          <w:rFonts w:hint="eastAsia" w:ascii="仿宋" w:hAnsi="仿宋" w:eastAsia="仿宋" w:cs="仿宋"/>
          <w:sz w:val="32"/>
          <w:szCs w:val="32"/>
        </w:rPr>
        <w:t>四、财政拨款收支预算总体情况说明</w:t>
      </w:r>
    </w:p>
    <w:p w14:paraId="7E9DE4AD">
      <w:pPr>
        <w:pStyle w:val="3"/>
        <w:spacing w:after="0" w:line="360" w:lineRule="auto"/>
        <w:ind w:firstLine="640" w:firstLineChars="200"/>
        <w:rPr>
          <w:rFonts w:ascii="仿宋" w:hAnsi="仿宋" w:eastAsia="仿宋" w:cs="仿宋"/>
          <w:sz w:val="32"/>
          <w:szCs w:val="32"/>
        </w:rPr>
      </w:pPr>
      <w:r>
        <w:rPr>
          <w:rFonts w:hint="eastAsia" w:ascii="仿宋" w:hAnsi="仿宋" w:eastAsia="仿宋" w:cs="仿宋"/>
          <w:sz w:val="32"/>
          <w:szCs w:val="32"/>
        </w:rPr>
        <w:t>五、一般公共预算支出预算情况说明</w:t>
      </w:r>
    </w:p>
    <w:p w14:paraId="0A5AC15A">
      <w:pPr>
        <w:pStyle w:val="3"/>
        <w:spacing w:after="0" w:line="360" w:lineRule="auto"/>
        <w:ind w:firstLine="640" w:firstLineChars="200"/>
        <w:rPr>
          <w:rFonts w:ascii="仿宋" w:hAnsi="仿宋" w:eastAsia="仿宋" w:cs="仿宋"/>
          <w:sz w:val="32"/>
          <w:szCs w:val="32"/>
        </w:rPr>
      </w:pPr>
      <w:r>
        <w:rPr>
          <w:rFonts w:hint="eastAsia" w:ascii="仿宋" w:hAnsi="仿宋" w:eastAsia="仿宋" w:cs="仿宋"/>
          <w:sz w:val="32"/>
          <w:szCs w:val="32"/>
        </w:rPr>
        <w:t>六、一般公共预算基本支出预算情况说明</w:t>
      </w:r>
    </w:p>
    <w:p w14:paraId="56B860F3">
      <w:pPr>
        <w:pStyle w:val="3"/>
        <w:spacing w:after="0" w:line="360" w:lineRule="auto"/>
        <w:ind w:firstLine="640" w:firstLineChars="200"/>
        <w:rPr>
          <w:rFonts w:ascii="仿宋" w:hAnsi="仿宋" w:eastAsia="仿宋" w:cs="仿宋"/>
          <w:sz w:val="32"/>
          <w:szCs w:val="32"/>
        </w:rPr>
      </w:pPr>
      <w:r>
        <w:rPr>
          <w:rFonts w:hint="eastAsia" w:ascii="仿宋" w:hAnsi="仿宋" w:eastAsia="仿宋" w:cs="仿宋"/>
          <w:sz w:val="32"/>
          <w:szCs w:val="32"/>
        </w:rPr>
        <w:t>七、一般公共预算“三公”经费支出预算情况说明</w:t>
      </w:r>
    </w:p>
    <w:p w14:paraId="7A6C4083">
      <w:pPr>
        <w:pStyle w:val="3"/>
        <w:spacing w:after="0" w:line="360" w:lineRule="auto"/>
        <w:ind w:firstLine="640" w:firstLineChars="200"/>
        <w:rPr>
          <w:rFonts w:ascii="仿宋" w:hAnsi="仿宋" w:eastAsia="仿宋" w:cs="仿宋"/>
          <w:sz w:val="32"/>
          <w:szCs w:val="32"/>
        </w:rPr>
      </w:pPr>
      <w:r>
        <w:rPr>
          <w:rFonts w:hint="eastAsia" w:ascii="仿宋" w:hAnsi="仿宋" w:eastAsia="仿宋" w:cs="仿宋"/>
          <w:sz w:val="32"/>
          <w:szCs w:val="32"/>
        </w:rPr>
        <w:t>八、政府性基金预算支出预算情况说明</w:t>
      </w:r>
    </w:p>
    <w:p w14:paraId="25F3D38F">
      <w:pPr>
        <w:pStyle w:val="3"/>
        <w:spacing w:after="0" w:line="360" w:lineRule="auto"/>
        <w:ind w:firstLine="640" w:firstLineChars="200"/>
        <w:rPr>
          <w:rFonts w:ascii="仿宋" w:hAnsi="仿宋" w:eastAsia="仿宋" w:cs="仿宋"/>
          <w:sz w:val="32"/>
          <w:szCs w:val="32"/>
        </w:rPr>
      </w:pPr>
      <w:r>
        <w:rPr>
          <w:rFonts w:hint="eastAsia" w:ascii="仿宋" w:hAnsi="仿宋" w:eastAsia="仿宋" w:cs="仿宋"/>
          <w:sz w:val="32"/>
          <w:szCs w:val="32"/>
        </w:rPr>
        <w:t>九、国有资本经营预算支出预算情况说明</w:t>
      </w:r>
    </w:p>
    <w:p w14:paraId="1607D311">
      <w:pPr>
        <w:pStyle w:val="3"/>
        <w:spacing w:after="0" w:line="360" w:lineRule="auto"/>
        <w:ind w:firstLine="640" w:firstLineChars="200"/>
        <w:rPr>
          <w:rFonts w:ascii="仿宋" w:hAnsi="仿宋" w:eastAsia="仿宋" w:cs="仿宋"/>
          <w:sz w:val="32"/>
          <w:szCs w:val="32"/>
        </w:rPr>
      </w:pPr>
      <w:r>
        <w:rPr>
          <w:rFonts w:hint="eastAsia" w:ascii="仿宋" w:hAnsi="仿宋" w:eastAsia="仿宋" w:cs="仿宋"/>
          <w:sz w:val="32"/>
          <w:szCs w:val="32"/>
        </w:rPr>
        <w:t>十、项目支出预算情况说明</w:t>
      </w:r>
    </w:p>
    <w:p w14:paraId="4538FCE8">
      <w:pPr>
        <w:widowControl/>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第三部分 其他公开事项说明</w:t>
      </w:r>
    </w:p>
    <w:p w14:paraId="04CF4A96">
      <w:pPr>
        <w:pStyle w:val="3"/>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一、机关运行经费安排情况说明</w:t>
      </w:r>
    </w:p>
    <w:p w14:paraId="7015D8BC">
      <w:pPr>
        <w:pStyle w:val="3"/>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二、事业运转经费安排情况说明</w:t>
      </w:r>
    </w:p>
    <w:p w14:paraId="5DF3E418">
      <w:pPr>
        <w:pStyle w:val="3"/>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三、政府采购支出预算情况说明</w:t>
      </w:r>
    </w:p>
    <w:p w14:paraId="5156A892">
      <w:pPr>
        <w:pStyle w:val="3"/>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四、国有资产占有使用情况说明</w:t>
      </w:r>
    </w:p>
    <w:p w14:paraId="2808DC94">
      <w:pPr>
        <w:pStyle w:val="3"/>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五、</w:t>
      </w:r>
      <w:r>
        <w:rPr>
          <w:rFonts w:hint="eastAsia" w:ascii="仿宋" w:hAnsi="仿宋" w:eastAsia="仿宋" w:cs="仿宋"/>
          <w:color w:val="auto"/>
          <w:sz w:val="32"/>
          <w:szCs w:val="32"/>
          <w:highlight w:val="none"/>
          <w:u w:val="none"/>
          <w:lang w:val="en-US" w:eastAsia="zh-CN"/>
        </w:rPr>
        <w:t>单位</w:t>
      </w:r>
      <w:r>
        <w:rPr>
          <w:rFonts w:hint="eastAsia" w:ascii="仿宋" w:hAnsi="仿宋" w:eastAsia="仿宋" w:cs="仿宋"/>
          <w:color w:val="auto"/>
          <w:sz w:val="32"/>
          <w:szCs w:val="32"/>
          <w:highlight w:val="none"/>
          <w:u w:val="none"/>
        </w:rPr>
        <w:t>组织征收收入计划</w:t>
      </w:r>
    </w:p>
    <w:p w14:paraId="1E5ADD6B">
      <w:pPr>
        <w:pStyle w:val="3"/>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六、绩效目标设置情况说明</w:t>
      </w:r>
    </w:p>
    <w:p w14:paraId="41C49078">
      <w:pPr>
        <w:widowControl/>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第四部分 名词解释</w:t>
      </w:r>
    </w:p>
    <w:p w14:paraId="2CE72CC7">
      <w:pPr>
        <w:widowControl/>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第五部分 预算公开联系方式及信息反馈渠道</w:t>
      </w:r>
    </w:p>
    <w:p w14:paraId="3BAD9853">
      <w:pPr>
        <w:widowControl/>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 xml:space="preserve">第六部分 </w:t>
      </w:r>
      <w:r>
        <w:rPr>
          <w:rFonts w:hint="eastAsia" w:ascii="Times New Roman" w:hAnsi="Times New Roman" w:eastAsia="仿宋_GB2312" w:cs="仿宋"/>
          <w:w w:val="95"/>
          <w:sz w:val="32"/>
          <w:szCs w:val="32"/>
        </w:rPr>
        <w:t>2025</w:t>
      </w:r>
      <w:r>
        <w:rPr>
          <w:rFonts w:hint="eastAsia" w:ascii="黑体" w:hAnsi="黑体" w:eastAsia="黑体" w:cs="黑体"/>
          <w:sz w:val="32"/>
          <w:szCs w:val="32"/>
        </w:rPr>
        <w:t>年单位预算公开表</w:t>
      </w:r>
    </w:p>
    <w:p w14:paraId="0DB96D51">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一、</w:t>
      </w:r>
      <w:r>
        <w:rPr>
          <w:rFonts w:hint="eastAsia" w:ascii="Times New Roman" w:hAnsi="Times New Roman" w:eastAsia="仿宋_GB2312" w:cs="仿宋"/>
          <w:spacing w:val="-17"/>
          <w:w w:val="95"/>
          <w:sz w:val="32"/>
          <w:szCs w:val="32"/>
          <w:lang w:val="en-US" w:eastAsia="zh-CN"/>
        </w:rPr>
        <w:t>单位</w:t>
      </w:r>
      <w:r>
        <w:rPr>
          <w:rFonts w:hint="eastAsia" w:ascii="Times New Roman" w:hAnsi="Times New Roman" w:eastAsia="仿宋_GB2312" w:cs="仿宋"/>
          <w:spacing w:val="-17"/>
          <w:w w:val="95"/>
          <w:sz w:val="32"/>
          <w:szCs w:val="32"/>
        </w:rPr>
        <w:t>收支总体情况表</w:t>
      </w:r>
    </w:p>
    <w:p w14:paraId="1DA362A4">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二、</w:t>
      </w:r>
      <w:r>
        <w:rPr>
          <w:rFonts w:hint="eastAsia" w:ascii="Times New Roman" w:hAnsi="Times New Roman" w:eastAsia="仿宋_GB2312" w:cs="仿宋"/>
          <w:spacing w:val="-17"/>
          <w:w w:val="95"/>
          <w:sz w:val="32"/>
          <w:szCs w:val="32"/>
          <w:lang w:val="en-US" w:eastAsia="zh-CN"/>
        </w:rPr>
        <w:t>单位</w:t>
      </w:r>
      <w:r>
        <w:rPr>
          <w:rFonts w:hint="eastAsia" w:ascii="Times New Roman" w:hAnsi="Times New Roman" w:eastAsia="仿宋_GB2312" w:cs="仿宋"/>
          <w:spacing w:val="-17"/>
          <w:w w:val="95"/>
          <w:sz w:val="32"/>
          <w:szCs w:val="32"/>
        </w:rPr>
        <w:t>收入总体情况表</w:t>
      </w:r>
    </w:p>
    <w:p w14:paraId="200BF97C">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三、</w:t>
      </w:r>
      <w:r>
        <w:rPr>
          <w:rFonts w:hint="eastAsia" w:ascii="Times New Roman" w:hAnsi="Times New Roman" w:eastAsia="仿宋_GB2312" w:cs="仿宋"/>
          <w:spacing w:val="-17"/>
          <w:w w:val="95"/>
          <w:sz w:val="32"/>
          <w:szCs w:val="32"/>
          <w:lang w:val="en-US" w:eastAsia="zh-CN"/>
        </w:rPr>
        <w:t>单位</w:t>
      </w:r>
      <w:r>
        <w:rPr>
          <w:rFonts w:hint="eastAsia" w:ascii="Times New Roman" w:hAnsi="Times New Roman" w:eastAsia="仿宋_GB2312" w:cs="仿宋"/>
          <w:spacing w:val="-17"/>
          <w:w w:val="95"/>
          <w:sz w:val="32"/>
          <w:szCs w:val="32"/>
        </w:rPr>
        <w:t>支出总体情况表</w:t>
      </w:r>
    </w:p>
    <w:p w14:paraId="066EBD9A">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四、财政拨款收支总体情况表</w:t>
      </w:r>
    </w:p>
    <w:p w14:paraId="616C6F38">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五、一般公共预算支出情况表</w:t>
      </w:r>
    </w:p>
    <w:p w14:paraId="17F3B2FA">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六、一般公共预算基本支出情况表</w:t>
      </w:r>
    </w:p>
    <w:p w14:paraId="7B25EF6B">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七、一般公共预算“三公”经费支出情况表</w:t>
      </w:r>
    </w:p>
    <w:p w14:paraId="795ECA76">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八、政府性基金预算支出情况表</w:t>
      </w:r>
    </w:p>
    <w:p w14:paraId="448A14F7">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九、国有资本经营预算支出表</w:t>
      </w:r>
    </w:p>
    <w:p w14:paraId="00532A91">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十、项目支出表</w:t>
      </w:r>
    </w:p>
    <w:p w14:paraId="1194A032">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十一、项目绩效目标表</w:t>
      </w:r>
    </w:p>
    <w:p w14:paraId="0DD25564">
      <w:pPr>
        <w:widowControl/>
        <w:spacing w:line="360" w:lineRule="auto"/>
        <w:ind w:firstLine="540" w:firstLineChars="200"/>
        <w:jc w:val="left"/>
        <w:rPr>
          <w:rFonts w:ascii="仿宋_GB2312" w:hAnsi="仿宋" w:eastAsia="仿宋_GB2312" w:cs="仿宋"/>
          <w:b/>
          <w:bCs/>
          <w:kern w:val="0"/>
          <w:sz w:val="32"/>
          <w:szCs w:val="32"/>
          <w:lang w:bidi="ar"/>
        </w:rPr>
      </w:pPr>
      <w:r>
        <w:rPr>
          <w:rFonts w:hint="eastAsia" w:ascii="Times New Roman" w:hAnsi="Times New Roman" w:eastAsia="仿宋_GB2312" w:cs="仿宋"/>
          <w:spacing w:val="-17"/>
          <w:w w:val="95"/>
          <w:sz w:val="32"/>
          <w:szCs w:val="32"/>
        </w:rPr>
        <w:t>十二、政府采购预算表</w:t>
      </w:r>
    </w:p>
    <w:p w14:paraId="59229A26">
      <w:pPr>
        <w:widowControl/>
        <w:spacing w:line="600" w:lineRule="exact"/>
        <w:jc w:val="left"/>
        <w:rPr>
          <w:rFonts w:ascii="仿宋_GB2312" w:hAnsi="仿宋" w:eastAsia="仿宋_GB2312" w:cs="仿宋"/>
          <w:b/>
          <w:bCs/>
          <w:kern w:val="0"/>
          <w:sz w:val="32"/>
          <w:szCs w:val="32"/>
          <w:lang w:bidi="ar"/>
        </w:rPr>
      </w:pPr>
    </w:p>
    <w:p w14:paraId="1F809860">
      <w:pPr>
        <w:widowControl/>
        <w:spacing w:line="600" w:lineRule="exact"/>
        <w:ind w:firstLine="643" w:firstLineChars="200"/>
        <w:jc w:val="left"/>
        <w:rPr>
          <w:rFonts w:ascii="仿宋_GB2312" w:hAnsi="仿宋" w:eastAsia="仿宋_GB2312" w:cs="仿宋"/>
          <w:b/>
          <w:bCs/>
          <w:kern w:val="0"/>
          <w:sz w:val="32"/>
          <w:szCs w:val="32"/>
          <w:lang w:bidi="ar"/>
        </w:rPr>
      </w:pPr>
    </w:p>
    <w:p w14:paraId="23626E7F">
      <w:pPr>
        <w:pStyle w:val="10"/>
        <w:rPr>
          <w:rFonts w:hint="default"/>
        </w:rPr>
      </w:pPr>
    </w:p>
    <w:p w14:paraId="1235CCE4">
      <w:pPr>
        <w:spacing w:line="600" w:lineRule="exact"/>
        <w:jc w:val="center"/>
        <w:rPr>
          <w:rFonts w:ascii="仿宋_GB2312" w:eastAsia="仿宋_GB2312"/>
          <w:sz w:val="44"/>
          <w:szCs w:val="44"/>
        </w:rPr>
      </w:pPr>
      <w:r>
        <w:rPr>
          <w:rFonts w:hint="eastAsia" w:ascii="仿宋_GB2312" w:hAnsi="仿宋" w:eastAsia="仿宋_GB2312" w:cs="仿宋"/>
          <w:b/>
          <w:bCs/>
          <w:kern w:val="0"/>
          <w:sz w:val="44"/>
          <w:szCs w:val="44"/>
          <w:lang w:bidi="ar"/>
        </w:rPr>
        <w:t>乌海市药物警戒中心</w:t>
      </w:r>
    </w:p>
    <w:p w14:paraId="14E5657A">
      <w:pPr>
        <w:widowControl/>
        <w:spacing w:line="600" w:lineRule="exact"/>
        <w:jc w:val="center"/>
        <w:rPr>
          <w:rFonts w:ascii="仿宋_GB2312" w:eastAsia="仿宋_GB2312"/>
          <w:sz w:val="32"/>
          <w:szCs w:val="32"/>
        </w:rPr>
      </w:pPr>
      <w:r>
        <w:rPr>
          <w:rFonts w:hint="eastAsia" w:ascii="仿宋_GB2312" w:hAnsi="仿宋" w:eastAsia="仿宋_GB2312" w:cs="仿宋"/>
          <w:b/>
          <w:bCs/>
          <w:kern w:val="0"/>
          <w:sz w:val="44"/>
          <w:szCs w:val="44"/>
          <w:lang w:bidi="ar"/>
        </w:rPr>
        <w:t>2025年预算公开报告</w:t>
      </w:r>
    </w:p>
    <w:p w14:paraId="3F72B530">
      <w:pPr>
        <w:widowControl/>
        <w:spacing w:line="600" w:lineRule="exact"/>
        <w:jc w:val="left"/>
        <w:rPr>
          <w:rFonts w:ascii="仿宋_GB2312" w:eastAsia="仿宋_GB2312"/>
          <w:sz w:val="32"/>
          <w:szCs w:val="32"/>
        </w:rPr>
      </w:pPr>
    </w:p>
    <w:p w14:paraId="2E9DD14C">
      <w:pPr>
        <w:widowControl/>
        <w:spacing w:line="600" w:lineRule="exact"/>
        <w:jc w:val="center"/>
        <w:rPr>
          <w:rFonts w:ascii="仿宋_GB2312" w:eastAsia="仿宋_GB2312"/>
          <w:sz w:val="32"/>
          <w:szCs w:val="32"/>
        </w:rPr>
      </w:pPr>
      <w:r>
        <w:rPr>
          <w:rFonts w:hint="eastAsia" w:ascii="仿宋_GB2312" w:hAnsi="仿宋" w:eastAsia="仿宋_GB2312" w:cs="仿宋"/>
          <w:b/>
          <w:bCs/>
          <w:kern w:val="0"/>
          <w:sz w:val="36"/>
          <w:szCs w:val="32"/>
          <w:lang w:bidi="ar"/>
        </w:rPr>
        <w:t>第一部分 单位概况</w:t>
      </w:r>
    </w:p>
    <w:p w14:paraId="777328CC">
      <w:pPr>
        <w:widowControl/>
        <w:spacing w:line="600" w:lineRule="exact"/>
        <w:ind w:firstLine="643" w:firstLineChars="200"/>
        <w:jc w:val="left"/>
        <w:rPr>
          <w:rFonts w:ascii="仿宋_GB2312" w:hAnsi="仿宋" w:eastAsia="仿宋_GB2312" w:cs="仿宋"/>
          <w:b/>
          <w:bCs/>
          <w:kern w:val="0"/>
          <w:sz w:val="32"/>
          <w:szCs w:val="32"/>
          <w:lang w:bidi="ar"/>
        </w:rPr>
      </w:pPr>
    </w:p>
    <w:p w14:paraId="17F1124C">
      <w:pPr>
        <w:widowControl/>
        <w:spacing w:line="600" w:lineRule="exact"/>
        <w:ind w:firstLine="640" w:firstLineChars="200"/>
        <w:jc w:val="left"/>
        <w:rPr>
          <w:rFonts w:ascii="黑体" w:hAnsi="黑体" w:eastAsia="黑体"/>
          <w:sz w:val="32"/>
          <w:szCs w:val="32"/>
        </w:rPr>
      </w:pPr>
      <w:r>
        <w:rPr>
          <w:rFonts w:hint="eastAsia" w:ascii="黑体" w:hAnsi="黑体" w:eastAsia="黑体" w:cs="仿宋"/>
          <w:bCs/>
          <w:kern w:val="0"/>
          <w:sz w:val="32"/>
          <w:szCs w:val="32"/>
          <w:lang w:bidi="ar"/>
        </w:rPr>
        <w:t>一、单位主要职能、职责</w:t>
      </w:r>
    </w:p>
    <w:p w14:paraId="1657AE93">
      <w:pPr>
        <w:spacing w:line="600" w:lineRule="exact"/>
        <w:ind w:firstLine="640" w:firstLineChars="200"/>
        <w:contextualSpacing/>
        <w:rPr>
          <w:rFonts w:ascii="楷体_GB2312" w:eastAsia="楷体_GB2312"/>
          <w:sz w:val="32"/>
          <w:szCs w:val="32"/>
        </w:rPr>
      </w:pPr>
      <w:r>
        <w:rPr>
          <w:rFonts w:hint="eastAsia" w:ascii="楷体_GB2312" w:eastAsia="楷体_GB2312"/>
          <w:sz w:val="32"/>
          <w:szCs w:val="32"/>
        </w:rPr>
        <w:t>（一）单位职能</w:t>
      </w:r>
    </w:p>
    <w:p w14:paraId="3CD10363">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乌海市药物警戒中心于2014年12月4日经编办批复单独设立，为乌海市市场监督管理局所属相当于正科级公益一类的事业单位。</w:t>
      </w:r>
    </w:p>
    <w:p w14:paraId="397BB978">
      <w:pPr>
        <w:spacing w:line="600" w:lineRule="exact"/>
        <w:ind w:firstLine="640" w:firstLineChars="200"/>
        <w:contextualSpacing/>
        <w:rPr>
          <w:rFonts w:ascii="楷体_GB2312" w:eastAsia="楷体_GB2312"/>
          <w:sz w:val="32"/>
          <w:szCs w:val="32"/>
        </w:rPr>
      </w:pPr>
      <w:r>
        <w:rPr>
          <w:rFonts w:hint="eastAsia" w:ascii="楷体_GB2312" w:eastAsia="楷体_GB2312"/>
          <w:sz w:val="32"/>
          <w:szCs w:val="32"/>
        </w:rPr>
        <w:t>（二）单位职责</w:t>
      </w:r>
    </w:p>
    <w:p w14:paraId="3D0BFD13">
      <w:pPr>
        <w:spacing w:line="60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在乌海市市场监督管理局和自治区药品不良反应监测中心的业务指导下负责全市药品不良反应报告和监测资料的收集、核实、评价、反馈和上报；开展全市严重药品不良反应的调查和评价；协助食品药品监管单位和卫生行政单位开展药品群体不良事件的调查；对药品生产、经营、使用单位开展药品不良反应报告与监测工作进行技术指导；药品不良反应监测信息网络的维护和管理。</w:t>
      </w:r>
    </w:p>
    <w:p w14:paraId="4A8E2FFC">
      <w:pPr>
        <w:spacing w:line="60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负责全市医疗器械不良事件报告和技术监测工作；负责全市医疗器械不良事件信息的收集、调查、核实、评价、反馈和上报，协助有关单位开展医疗器械群体不良事件的调查；医疗器械不良事件监测信息网络的维护和管理。</w:t>
      </w:r>
    </w:p>
    <w:p w14:paraId="38FAE542">
      <w:pPr>
        <w:spacing w:line="60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负责全市化妆品不良反应报告和监测资料的收集、核实、评价、反馈和上报，协助有关单位开展群体性化妆品不良反应事件的调查；化妆品安全性评价以及化妆品不良反应监测信息网络的维护和管理。</w:t>
      </w:r>
    </w:p>
    <w:p w14:paraId="03A1D668">
      <w:pPr>
        <w:spacing w:line="60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负责全市药物滥用监测报告和监测资料的收集、核实和汇总上报工作。</w:t>
      </w:r>
    </w:p>
    <w:p w14:paraId="3795422E">
      <w:pPr>
        <w:spacing w:line="60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val="en-US" w:eastAsia="zh-CN"/>
        </w:rPr>
        <w:t>.</w:t>
      </w:r>
      <w:r>
        <w:rPr>
          <w:rFonts w:hint="eastAsia" w:ascii="仿宋_GB2312" w:eastAsia="仿宋_GB2312"/>
          <w:sz w:val="32"/>
          <w:szCs w:val="32"/>
        </w:rPr>
        <w:t>参与全市疫苗不良反应报告和监测资料的收集、核实、反馈和上报，疫苗突发性群体应急事件的调查、评价、上报以及疫苗不良反应监测信息网络的维护和管理。</w:t>
      </w:r>
    </w:p>
    <w:p w14:paraId="61055889">
      <w:pPr>
        <w:spacing w:line="60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lang w:val="en-US" w:eastAsia="zh-CN"/>
        </w:rPr>
        <w:t>.</w:t>
      </w:r>
      <w:r>
        <w:rPr>
          <w:rFonts w:hint="eastAsia" w:ascii="仿宋_GB2312" w:eastAsia="仿宋_GB2312"/>
          <w:sz w:val="32"/>
          <w:szCs w:val="32"/>
        </w:rPr>
        <w:t>负责对辖区内监测机构和监测哨点进行技术指导。</w:t>
      </w:r>
    </w:p>
    <w:p w14:paraId="5A86F587">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7</w:t>
      </w:r>
      <w:r>
        <w:rPr>
          <w:rFonts w:hint="eastAsia" w:ascii="仿宋_GB2312" w:eastAsia="仿宋_GB2312"/>
          <w:sz w:val="32"/>
          <w:szCs w:val="32"/>
          <w:lang w:val="en-US" w:eastAsia="zh-CN"/>
        </w:rPr>
        <w:t>.</w:t>
      </w:r>
      <w:r>
        <w:rPr>
          <w:rFonts w:hint="eastAsia" w:ascii="仿宋_GB2312" w:eastAsia="仿宋_GB2312"/>
          <w:sz w:val="32"/>
          <w:szCs w:val="32"/>
        </w:rPr>
        <w:t>组织开展全市药品不良反应、医疗器械不良事件、化妆品不良反应、疫苗不良反应和药物滥用工作的宣传普及和教育培训工作。</w:t>
      </w:r>
    </w:p>
    <w:p w14:paraId="06861A15">
      <w:pPr>
        <w:widowControl/>
        <w:spacing w:line="600" w:lineRule="exact"/>
        <w:ind w:firstLine="640" w:firstLineChars="200"/>
        <w:jc w:val="left"/>
        <w:rPr>
          <w:rFonts w:ascii="黑体" w:hAnsi="黑体" w:eastAsia="黑体"/>
          <w:sz w:val="32"/>
          <w:szCs w:val="32"/>
        </w:rPr>
      </w:pPr>
      <w:r>
        <w:rPr>
          <w:rFonts w:hint="eastAsia" w:ascii="黑体" w:hAnsi="黑体" w:eastAsia="黑体" w:cs="仿宋"/>
          <w:bCs/>
          <w:kern w:val="0"/>
          <w:sz w:val="32"/>
          <w:szCs w:val="32"/>
          <w:lang w:bidi="ar"/>
        </w:rPr>
        <w:t>二、机构设置及预算单位构成情况</w:t>
      </w:r>
    </w:p>
    <w:p w14:paraId="61A34988">
      <w:pPr>
        <w:widowControl/>
        <w:spacing w:line="600" w:lineRule="exact"/>
        <w:ind w:firstLine="640" w:firstLineChars="200"/>
        <w:jc w:val="left"/>
        <w:rPr>
          <w:rFonts w:ascii="仿宋_GB2312" w:eastAsia="仿宋_GB2312"/>
          <w:sz w:val="32"/>
          <w:szCs w:val="32"/>
        </w:rPr>
      </w:pPr>
      <w:r>
        <w:rPr>
          <w:rFonts w:hint="eastAsia" w:ascii="仿宋_GB2312" w:hAnsi="仿宋" w:eastAsia="仿宋_GB2312" w:cs="仿宋"/>
          <w:kern w:val="0"/>
          <w:sz w:val="32"/>
          <w:szCs w:val="32"/>
          <w:lang w:bidi="ar"/>
        </w:rPr>
        <w:t>从预算单位构成看，2025年乌海市药物警戒中心</w:t>
      </w:r>
      <w:r>
        <w:rPr>
          <w:rFonts w:hint="eastAsia" w:ascii="仿宋_GB2312" w:hAnsi="仿宋" w:eastAsia="仿宋_GB2312" w:cs="仿宋"/>
          <w:kern w:val="0"/>
          <w:sz w:val="32"/>
          <w:szCs w:val="32"/>
          <w:lang w:val="en-US" w:eastAsia="zh-CN" w:bidi="ar"/>
        </w:rPr>
        <w:t>单位</w:t>
      </w:r>
      <w:r>
        <w:rPr>
          <w:rFonts w:hint="eastAsia" w:ascii="仿宋_GB2312" w:hAnsi="仿宋" w:eastAsia="仿宋_GB2312" w:cs="仿宋"/>
          <w:kern w:val="0"/>
          <w:sz w:val="32"/>
          <w:szCs w:val="32"/>
          <w:lang w:bidi="ar"/>
        </w:rPr>
        <w:t>预算包括：</w:t>
      </w:r>
      <w:r>
        <w:rPr>
          <w:rFonts w:hint="eastAsia" w:ascii="仿宋_GB2312" w:hAnsi="仿宋" w:eastAsia="仿宋_GB2312" w:cs="仿宋"/>
          <w:kern w:val="0"/>
          <w:sz w:val="32"/>
          <w:szCs w:val="32"/>
          <w:lang w:val="en-US" w:eastAsia="zh-CN" w:bidi="ar"/>
        </w:rPr>
        <w:t>单位</w:t>
      </w:r>
      <w:r>
        <w:rPr>
          <w:rFonts w:hint="eastAsia" w:ascii="仿宋_GB2312" w:hAnsi="仿宋" w:eastAsia="仿宋_GB2312" w:cs="仿宋"/>
          <w:kern w:val="0"/>
          <w:sz w:val="32"/>
          <w:szCs w:val="32"/>
          <w:lang w:bidi="ar"/>
        </w:rPr>
        <w:t>本级预算。</w:t>
      </w:r>
    </w:p>
    <w:p w14:paraId="5048BF32">
      <w:pPr>
        <w:widowControl/>
        <w:spacing w:line="600" w:lineRule="exact"/>
        <w:ind w:firstLine="640" w:firstLineChars="200"/>
        <w:jc w:val="left"/>
        <w:rPr>
          <w:rFonts w:ascii="楷体_GB2312" w:eastAsia="楷体_GB2312"/>
          <w:sz w:val="32"/>
          <w:szCs w:val="32"/>
        </w:rPr>
      </w:pPr>
      <w:r>
        <w:rPr>
          <w:rFonts w:hint="eastAsia" w:ascii="楷体_GB2312" w:hAnsi="仿宋" w:eastAsia="楷体_GB2312" w:cs="仿宋"/>
          <w:bCs/>
          <w:kern w:val="0"/>
          <w:sz w:val="32"/>
          <w:szCs w:val="32"/>
          <w:lang w:bidi="ar"/>
        </w:rPr>
        <w:t>（一）</w:t>
      </w:r>
      <w:r>
        <w:rPr>
          <w:rFonts w:hint="eastAsia" w:eastAsia="楷体_GB2312" w:cs="Calibri"/>
          <w:bCs/>
          <w:kern w:val="0"/>
          <w:sz w:val="32"/>
          <w:szCs w:val="32"/>
          <w:lang w:bidi="ar"/>
        </w:rPr>
        <w:t>乌海市药物警戒中心</w:t>
      </w:r>
      <w:r>
        <w:rPr>
          <w:rFonts w:hint="eastAsia" w:eastAsia="楷体_GB2312" w:cs="Calibri"/>
          <w:bCs/>
          <w:kern w:val="0"/>
          <w:sz w:val="32"/>
          <w:szCs w:val="32"/>
          <w:lang w:val="en-US" w:eastAsia="zh-CN" w:bidi="ar"/>
        </w:rPr>
        <w:t>单位</w:t>
      </w:r>
      <w:r>
        <w:rPr>
          <w:rFonts w:hint="eastAsia" w:ascii="楷体_GB2312" w:hAnsi="仿宋" w:eastAsia="楷体_GB2312" w:cs="仿宋"/>
          <w:bCs/>
          <w:kern w:val="0"/>
          <w:sz w:val="32"/>
          <w:szCs w:val="32"/>
          <w:lang w:bidi="ar"/>
        </w:rPr>
        <w:t>机构</w:t>
      </w:r>
    </w:p>
    <w:p w14:paraId="11DBC45F">
      <w:pPr>
        <w:widowControl/>
        <w:spacing w:line="600" w:lineRule="exact"/>
        <w:ind w:firstLine="640" w:firstLineChars="200"/>
        <w:jc w:val="left"/>
        <w:rPr>
          <w:rFonts w:ascii="仿宋_GB2312" w:eastAsia="仿宋_GB2312"/>
          <w:sz w:val="32"/>
          <w:szCs w:val="32"/>
        </w:rPr>
      </w:pPr>
      <w:r>
        <w:rPr>
          <w:rFonts w:hint="eastAsia" w:ascii="仿宋_GB2312" w:hAnsi="仿宋" w:eastAsia="仿宋_GB2312" w:cs="仿宋"/>
          <w:kern w:val="0"/>
          <w:sz w:val="32"/>
          <w:szCs w:val="32"/>
          <w:lang w:bidi="ar"/>
        </w:rPr>
        <w:t>2025年，乌海市药物警戒中心共有机构数1家，其中财政拨款的行政单位0家、参照公务员法管理的事业单位0家、公益一类事业单位1家、公益二类事业单位0家。与去年相比，机构数量减少0家，原因为本年度我单位无机构变动。</w:t>
      </w:r>
    </w:p>
    <w:p w14:paraId="370936DF">
      <w:pPr>
        <w:widowControl/>
        <w:spacing w:line="600" w:lineRule="exact"/>
        <w:ind w:firstLine="640" w:firstLineChars="200"/>
        <w:jc w:val="left"/>
        <w:rPr>
          <w:rFonts w:ascii="楷体_GB2312" w:eastAsia="楷体_GB2312"/>
          <w:sz w:val="32"/>
          <w:szCs w:val="32"/>
        </w:rPr>
      </w:pPr>
      <w:r>
        <w:rPr>
          <w:rFonts w:hint="eastAsia" w:ascii="楷体_GB2312" w:hAnsi="仿宋" w:eastAsia="楷体_GB2312" w:cs="仿宋"/>
          <w:bCs/>
          <w:kern w:val="0"/>
          <w:sz w:val="32"/>
          <w:szCs w:val="32"/>
          <w:lang w:bidi="ar"/>
        </w:rPr>
        <w:t>（二）</w:t>
      </w:r>
      <w:r>
        <w:rPr>
          <w:rFonts w:hint="eastAsia" w:eastAsia="楷体_GB2312" w:cs="Calibri"/>
          <w:bCs/>
          <w:kern w:val="0"/>
          <w:sz w:val="32"/>
          <w:szCs w:val="32"/>
          <w:lang w:bidi="ar"/>
        </w:rPr>
        <w:t>乌海市药物警戒中心</w:t>
      </w:r>
      <w:r>
        <w:rPr>
          <w:rFonts w:hint="eastAsia" w:ascii="楷体_GB2312" w:hAnsi="仿宋" w:eastAsia="楷体_GB2312" w:cs="仿宋"/>
          <w:bCs/>
          <w:kern w:val="0"/>
          <w:sz w:val="32"/>
          <w:szCs w:val="32"/>
          <w:lang w:bidi="ar"/>
        </w:rPr>
        <w:t>单位设置</w:t>
      </w:r>
    </w:p>
    <w:p w14:paraId="778AD1FD">
      <w:pPr>
        <w:spacing w:line="600" w:lineRule="exact"/>
        <w:ind w:firstLine="640" w:firstLineChars="200"/>
        <w:contextualSpacing/>
        <w:rPr>
          <w:rFonts w:ascii="仿宋_GB2312" w:hAnsi="楷体_GB2312" w:eastAsia="仿宋_GB2312" w:cs="楷体_GB2312"/>
          <w:sz w:val="32"/>
          <w:szCs w:val="32"/>
        </w:rPr>
      </w:pPr>
      <w:r>
        <w:rPr>
          <w:rFonts w:hint="eastAsia" w:ascii="仿宋_GB2312" w:hAnsi="楷体_GB2312" w:eastAsia="仿宋_GB2312" w:cs="楷体_GB2312"/>
          <w:sz w:val="32"/>
          <w:szCs w:val="32"/>
        </w:rPr>
        <w:t>纳入本单位2025年</w:t>
      </w:r>
      <w:r>
        <w:rPr>
          <w:rFonts w:hint="eastAsia" w:ascii="仿宋_GB2312" w:hAnsi="楷体_GB2312" w:eastAsia="仿宋_GB2312" w:cs="楷体_GB2312"/>
          <w:sz w:val="32"/>
          <w:szCs w:val="32"/>
          <w:lang w:val="en-US" w:eastAsia="zh-CN"/>
        </w:rPr>
        <w:t>单位</w:t>
      </w:r>
      <w:r>
        <w:rPr>
          <w:rFonts w:hint="eastAsia" w:ascii="仿宋_GB2312" w:hAnsi="楷体_GB2312" w:eastAsia="仿宋_GB2312" w:cs="楷体_GB2312"/>
          <w:sz w:val="32"/>
          <w:szCs w:val="32"/>
        </w:rPr>
        <w:t>预算编制范围的单位情况如下：</w:t>
      </w:r>
    </w:p>
    <w:p w14:paraId="23A6D3F8">
      <w:pPr>
        <w:spacing w:line="600" w:lineRule="exact"/>
        <w:ind w:firstLine="643" w:firstLineChars="200"/>
        <w:contextualSpacing/>
        <w:rPr>
          <w:rFonts w:ascii="仿宋_GB2312" w:hAnsi="楷体_GB2312" w:eastAsia="仿宋_GB2312" w:cs="楷体_GB2312"/>
          <w:b/>
          <w:sz w:val="32"/>
          <w:szCs w:val="32"/>
        </w:rPr>
      </w:pPr>
    </w:p>
    <w:p w14:paraId="521E8AB6">
      <w:pPr>
        <w:pStyle w:val="2"/>
        <w:spacing w:before="0" w:after="0" w:line="600" w:lineRule="exact"/>
        <w:contextualSpacing/>
        <w:jc w:val="center"/>
        <w:rPr>
          <w:rFonts w:ascii="仿宋" w:eastAsia="仿宋"/>
        </w:rPr>
      </w:pPr>
      <w:r>
        <w:rPr>
          <w:rFonts w:hint="eastAsia" w:ascii="仿宋" w:eastAsia="仿宋"/>
        </w:rPr>
        <w:t>预算单位情况表</w:t>
      </w:r>
    </w:p>
    <w:p w14:paraId="78BC5C1A">
      <w:pPr>
        <w:rPr>
          <w:lang w:val="zh-CN" w:bidi="zh-CN"/>
        </w:rPr>
      </w:pPr>
    </w:p>
    <w:tbl>
      <w:tblPr>
        <w:tblStyle w:val="11"/>
        <w:tblW w:w="8723" w:type="dxa"/>
        <w:tblInd w:w="4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3"/>
        <w:gridCol w:w="3780"/>
        <w:gridCol w:w="3740"/>
      </w:tblGrid>
      <w:tr w14:paraId="193EA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1203" w:type="dxa"/>
          </w:tcPr>
          <w:p w14:paraId="6D26588A">
            <w:pPr>
              <w:pStyle w:val="19"/>
              <w:spacing w:before="0" w:after="0" w:line="600" w:lineRule="exact"/>
              <w:contextualSpacing/>
              <w:jc w:val="center"/>
              <w:rPr>
                <w:b/>
                <w:sz w:val="32"/>
              </w:rPr>
            </w:pPr>
            <w:r>
              <w:rPr>
                <w:b/>
                <w:w w:val="99"/>
                <w:sz w:val="32"/>
              </w:rPr>
              <w:t>序号</w:t>
            </w:r>
          </w:p>
        </w:tc>
        <w:tc>
          <w:tcPr>
            <w:tcW w:w="3780" w:type="dxa"/>
          </w:tcPr>
          <w:p w14:paraId="731F9327">
            <w:pPr>
              <w:pStyle w:val="19"/>
              <w:spacing w:before="0" w:after="0" w:line="600" w:lineRule="exact"/>
              <w:ind w:firstLine="643" w:firstLineChars="200"/>
              <w:contextualSpacing/>
              <w:rPr>
                <w:b/>
                <w:sz w:val="32"/>
              </w:rPr>
            </w:pPr>
            <w:r>
              <w:rPr>
                <w:b/>
                <w:sz w:val="32"/>
              </w:rPr>
              <w:t>单位名称</w:t>
            </w:r>
          </w:p>
        </w:tc>
        <w:tc>
          <w:tcPr>
            <w:tcW w:w="3740" w:type="dxa"/>
          </w:tcPr>
          <w:p w14:paraId="1D5D2419">
            <w:pPr>
              <w:pStyle w:val="19"/>
              <w:spacing w:before="0" w:after="0" w:line="600" w:lineRule="exact"/>
              <w:contextualSpacing/>
              <w:jc w:val="center"/>
              <w:rPr>
                <w:b/>
                <w:sz w:val="32"/>
              </w:rPr>
            </w:pPr>
            <w:r>
              <w:rPr>
                <w:b/>
                <w:sz w:val="32"/>
              </w:rPr>
              <w:t>单位性质</w:t>
            </w:r>
          </w:p>
        </w:tc>
      </w:tr>
      <w:tr w14:paraId="4E051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03" w:type="dxa"/>
          </w:tcPr>
          <w:p w14:paraId="1299C123">
            <w:pPr>
              <w:pStyle w:val="19"/>
              <w:spacing w:before="0" w:after="0" w:line="600" w:lineRule="exact"/>
              <w:contextualSpacing/>
              <w:jc w:val="center"/>
              <w:rPr>
                <w:rFonts w:ascii="Times New Roman"/>
                <w:sz w:val="21"/>
                <w:szCs w:val="21"/>
              </w:rPr>
            </w:pPr>
            <w:r>
              <w:rPr>
                <w:rFonts w:hint="eastAsia" w:ascii="Times New Roman"/>
                <w:sz w:val="21"/>
                <w:szCs w:val="21"/>
              </w:rPr>
              <w:t>1</w:t>
            </w:r>
          </w:p>
        </w:tc>
        <w:tc>
          <w:tcPr>
            <w:tcW w:w="3780" w:type="dxa"/>
          </w:tcPr>
          <w:p w14:paraId="2F93108A">
            <w:pPr>
              <w:pStyle w:val="19"/>
              <w:spacing w:before="0" w:after="0" w:line="600" w:lineRule="exact"/>
              <w:contextualSpacing/>
              <w:rPr>
                <w:sz w:val="21"/>
                <w:szCs w:val="21"/>
                <w:lang w:val="en-US"/>
              </w:rPr>
            </w:pPr>
            <w:r>
              <w:rPr>
                <w:rFonts w:hint="eastAsia"/>
                <w:sz w:val="21"/>
                <w:szCs w:val="21"/>
                <w:lang w:val="en-US"/>
              </w:rPr>
              <w:t>乌海市药物警戒中心</w:t>
            </w:r>
          </w:p>
        </w:tc>
        <w:tc>
          <w:tcPr>
            <w:tcW w:w="3740" w:type="dxa"/>
          </w:tcPr>
          <w:p w14:paraId="37EE5A25">
            <w:pPr>
              <w:pStyle w:val="19"/>
              <w:spacing w:before="0" w:after="0" w:line="600" w:lineRule="exact"/>
              <w:ind w:firstLine="420" w:firstLineChars="200"/>
              <w:contextualSpacing/>
              <w:rPr>
                <w:sz w:val="21"/>
                <w:szCs w:val="21"/>
                <w:lang w:val="en-US"/>
              </w:rPr>
            </w:pPr>
            <w:r>
              <w:rPr>
                <w:rFonts w:hint="eastAsia"/>
                <w:sz w:val="21"/>
                <w:szCs w:val="21"/>
                <w:lang w:val="en-US"/>
              </w:rPr>
              <w:t>公益一类事业单位</w:t>
            </w:r>
          </w:p>
        </w:tc>
      </w:tr>
    </w:tbl>
    <w:p w14:paraId="34AB7335">
      <w:pPr>
        <w:contextualSpacing/>
        <w:rPr>
          <w:rFonts w:ascii="楷体_GB2312" w:hAnsi="楷体_GB2312" w:eastAsia="楷体_GB2312" w:cs="楷体_GB2312"/>
          <w:sz w:val="32"/>
          <w:szCs w:val="32"/>
        </w:rPr>
      </w:pPr>
    </w:p>
    <w:p w14:paraId="306F9158">
      <w:pPr>
        <w:widowControl/>
        <w:spacing w:line="560" w:lineRule="exact"/>
        <w:ind w:firstLine="640" w:firstLineChars="200"/>
        <w:jc w:val="left"/>
        <w:rPr>
          <w:rFonts w:ascii="楷体_GB2312" w:hAnsi="仿宋" w:eastAsia="楷体_GB2312" w:cs="仿宋"/>
          <w:bCs/>
          <w:kern w:val="0"/>
          <w:sz w:val="32"/>
          <w:szCs w:val="32"/>
          <w:lang w:bidi="ar"/>
        </w:rPr>
      </w:pPr>
      <w:r>
        <w:rPr>
          <w:rFonts w:hint="eastAsia" w:ascii="楷体_GB2312" w:hAnsi="仿宋" w:eastAsia="楷体_GB2312" w:cs="仿宋"/>
          <w:bCs/>
          <w:kern w:val="0"/>
          <w:sz w:val="32"/>
          <w:szCs w:val="32"/>
          <w:lang w:bidi="ar"/>
        </w:rPr>
        <w:t>（三）乌海市药物警戒中心所属单位机构及人员基本情况</w:t>
      </w:r>
    </w:p>
    <w:p w14:paraId="4327B5AF">
      <w:pPr>
        <w:spacing w:line="560" w:lineRule="exact"/>
        <w:ind w:firstLine="640" w:firstLineChars="200"/>
        <w:contextualSpacing/>
        <w:rPr>
          <w:rFonts w:ascii="仿宋_GB2312" w:hAnsi="楷体_GB2312" w:eastAsia="仿宋_GB2312" w:cs="楷体_GB2312"/>
          <w:sz w:val="32"/>
          <w:szCs w:val="32"/>
        </w:rPr>
      </w:pPr>
      <w:r>
        <w:rPr>
          <w:rFonts w:hint="eastAsia" w:ascii="仿宋_GB2312" w:hAnsi="楷体_GB2312" w:eastAsia="仿宋_GB2312" w:cs="楷体_GB2312"/>
          <w:sz w:val="32"/>
          <w:szCs w:val="32"/>
        </w:rPr>
        <w:t>1.乌海市药物警戒中心</w:t>
      </w:r>
      <w:bookmarkStart w:id="0" w:name="_GoBack"/>
      <w:bookmarkEnd w:id="0"/>
      <w:r>
        <w:rPr>
          <w:rFonts w:hint="eastAsia" w:ascii="仿宋_GB2312" w:hAnsi="楷体_GB2312" w:eastAsia="仿宋_GB2312" w:cs="楷体_GB2312"/>
          <w:sz w:val="32"/>
          <w:szCs w:val="32"/>
        </w:rPr>
        <w:t>。</w:t>
      </w:r>
      <w:r>
        <w:rPr>
          <w:rFonts w:hint="eastAsia" w:ascii="仿宋_GB2312" w:hAnsi="楷体_GB2312" w:eastAsia="仿宋_GB2312" w:cs="楷体_GB2312"/>
          <w:sz w:val="32"/>
          <w:szCs w:val="32"/>
          <w:lang w:eastAsia="zh-CN"/>
        </w:rPr>
        <w:t>独立核算公益一类事业单位，核定全额拨款事业单位编制</w:t>
      </w:r>
      <w:r>
        <w:rPr>
          <w:rFonts w:hint="eastAsia" w:ascii="仿宋_GB2312" w:hAnsi="楷体_GB2312" w:eastAsia="仿宋_GB2312" w:cs="楷体_GB2312"/>
          <w:sz w:val="32"/>
          <w:szCs w:val="32"/>
          <w:lang w:val="en-US" w:eastAsia="zh-CN"/>
        </w:rPr>
        <w:t>11</w:t>
      </w:r>
      <w:r>
        <w:rPr>
          <w:rFonts w:hint="eastAsia" w:ascii="仿宋_GB2312" w:hAnsi="楷体_GB2312" w:eastAsia="仿宋_GB2312" w:cs="楷体_GB2312"/>
          <w:sz w:val="32"/>
          <w:szCs w:val="32"/>
          <w:lang w:eastAsia="zh-CN"/>
        </w:rPr>
        <w:t>个，实有人员</w:t>
      </w:r>
      <w:r>
        <w:rPr>
          <w:rFonts w:hint="eastAsia" w:ascii="仿宋_GB2312" w:hAnsi="楷体_GB2312" w:eastAsia="仿宋_GB2312" w:cs="楷体_GB2312"/>
          <w:sz w:val="32"/>
          <w:szCs w:val="32"/>
          <w:lang w:val="en-US" w:eastAsia="zh-CN"/>
        </w:rPr>
        <w:t>11</w:t>
      </w:r>
      <w:r>
        <w:rPr>
          <w:rFonts w:hint="eastAsia" w:ascii="仿宋_GB2312" w:hAnsi="楷体_GB2312" w:eastAsia="仿宋_GB2312" w:cs="楷体_GB2312"/>
          <w:sz w:val="32"/>
          <w:szCs w:val="32"/>
          <w:lang w:eastAsia="zh-CN"/>
        </w:rPr>
        <w:t>人，比上年持平。离退休职工</w:t>
      </w:r>
      <w:r>
        <w:rPr>
          <w:rFonts w:hint="eastAsia" w:ascii="仿宋_GB2312" w:hAnsi="楷体_GB2312" w:eastAsia="仿宋_GB2312" w:cs="楷体_GB2312"/>
          <w:sz w:val="32"/>
          <w:szCs w:val="32"/>
          <w:lang w:val="en-US" w:eastAsia="zh-CN"/>
        </w:rPr>
        <w:t>0</w:t>
      </w:r>
      <w:r>
        <w:rPr>
          <w:rFonts w:hint="eastAsia" w:ascii="仿宋_GB2312" w:hAnsi="楷体_GB2312" w:eastAsia="仿宋_GB2312" w:cs="楷体_GB2312"/>
          <w:sz w:val="32"/>
          <w:szCs w:val="32"/>
          <w:lang w:eastAsia="zh-CN"/>
        </w:rPr>
        <w:t>人，比上年持平。原因为本年度我单位无人事变动。</w:t>
      </w:r>
    </w:p>
    <w:p w14:paraId="5B4AB40A">
      <w:pPr>
        <w:widowControl/>
        <w:spacing w:line="560" w:lineRule="exact"/>
        <w:ind w:firstLine="640" w:firstLineChars="200"/>
        <w:jc w:val="left"/>
        <w:rPr>
          <w:rFonts w:ascii="黑体" w:hAnsi="黑体" w:eastAsia="黑体" w:cs="仿宋"/>
          <w:bCs/>
          <w:kern w:val="0"/>
          <w:sz w:val="32"/>
          <w:szCs w:val="32"/>
          <w:lang w:bidi="ar"/>
        </w:rPr>
      </w:pPr>
      <w:r>
        <w:rPr>
          <w:rFonts w:hint="eastAsia" w:ascii="黑体" w:hAnsi="黑体" w:eastAsia="黑体" w:cs="仿宋"/>
          <w:bCs/>
          <w:kern w:val="0"/>
          <w:sz w:val="32"/>
          <w:szCs w:val="32"/>
          <w:lang w:bidi="ar"/>
        </w:rPr>
        <w:t>三、2025年度单位主要工作任务及目标</w:t>
      </w:r>
    </w:p>
    <w:p w14:paraId="4F105B9E">
      <w:pPr>
        <w:pStyle w:val="10"/>
        <w:numPr>
          <w:ilvl w:val="0"/>
          <w:numId w:val="0"/>
        </w:numPr>
        <w:spacing w:after="0" w:line="560" w:lineRule="exact"/>
        <w:ind w:left="0" w:leftChars="0" w:firstLine="640" w:firstLineChars="200"/>
        <w:rPr>
          <w:rFonts w:hint="eastAsia" w:ascii="仿宋_GB2312" w:hAnsi="楷体_GB2312" w:eastAsia="仿宋_GB2312" w:cs="楷体_GB2312"/>
          <w:kern w:val="2"/>
          <w:sz w:val="32"/>
          <w:szCs w:val="32"/>
          <w:lang w:eastAsia="zh-CN"/>
        </w:rPr>
      </w:pPr>
      <w:r>
        <w:rPr>
          <w:rFonts w:hint="eastAsia" w:ascii="仿宋_GB2312" w:hAnsi="楷体_GB2312" w:eastAsia="仿宋_GB2312" w:cs="楷体_GB2312"/>
          <w:kern w:val="2"/>
          <w:sz w:val="32"/>
          <w:szCs w:val="32"/>
          <w:lang w:val="en-US" w:eastAsia="zh-CN" w:bidi="ar-SA"/>
        </w:rPr>
        <w:t>1.</w:t>
      </w:r>
      <w:r>
        <w:rPr>
          <w:rFonts w:ascii="仿宋_GB2312" w:hAnsi="楷体_GB2312" w:eastAsia="仿宋_GB2312" w:cs="楷体_GB2312"/>
          <w:kern w:val="2"/>
          <w:sz w:val="32"/>
          <w:szCs w:val="32"/>
        </w:rPr>
        <w:t>具体目标：完成2025年“两品一械”不良反应（事件）监测和药物滥用监测工作目标</w:t>
      </w:r>
      <w:r>
        <w:rPr>
          <w:rFonts w:hint="eastAsia" w:ascii="仿宋_GB2312" w:hAnsi="楷体_GB2312" w:eastAsia="仿宋_GB2312" w:cs="楷体_GB2312"/>
          <w:kern w:val="2"/>
          <w:sz w:val="32"/>
          <w:szCs w:val="32"/>
          <w:lang w:eastAsia="zh-CN"/>
        </w:rPr>
        <w:t>。</w:t>
      </w:r>
    </w:p>
    <w:p w14:paraId="415EE674">
      <w:pPr>
        <w:pStyle w:val="10"/>
        <w:numPr>
          <w:ilvl w:val="0"/>
          <w:numId w:val="0"/>
        </w:numPr>
        <w:spacing w:after="0" w:line="560" w:lineRule="exact"/>
        <w:ind w:left="0" w:leftChars="0" w:firstLine="640" w:firstLineChars="200"/>
        <w:rPr>
          <w:rFonts w:ascii="仿宋_GB2312" w:hAnsi="楷体_GB2312" w:eastAsia="仿宋_GB2312" w:cs="楷体_GB2312"/>
          <w:kern w:val="2"/>
          <w:sz w:val="32"/>
          <w:szCs w:val="32"/>
        </w:rPr>
      </w:pPr>
      <w:r>
        <w:rPr>
          <w:rFonts w:ascii="仿宋_GB2312" w:hAnsi="楷体_GB2312" w:eastAsia="仿宋_GB2312" w:cs="楷体_GB2312"/>
          <w:kern w:val="2"/>
          <w:sz w:val="32"/>
          <w:szCs w:val="32"/>
        </w:rPr>
        <w:t>具体举措：和市卫健委联合印发工作方案，部署全市监测工作目标，明确各责任单位分工。</w:t>
      </w:r>
    </w:p>
    <w:p w14:paraId="5CAEFB1B">
      <w:pPr>
        <w:pStyle w:val="10"/>
        <w:numPr>
          <w:ilvl w:val="0"/>
          <w:numId w:val="0"/>
        </w:numPr>
        <w:spacing w:after="0" w:line="560" w:lineRule="exact"/>
        <w:ind w:left="0" w:leftChars="0" w:firstLine="640" w:firstLineChars="200"/>
        <w:rPr>
          <w:rFonts w:hint="eastAsia" w:ascii="仿宋_GB2312" w:hAnsi="楷体_GB2312" w:eastAsia="仿宋_GB2312" w:cs="楷体_GB2312"/>
          <w:kern w:val="2"/>
          <w:sz w:val="32"/>
          <w:szCs w:val="32"/>
          <w:lang w:eastAsia="zh-CN"/>
        </w:rPr>
      </w:pPr>
      <w:r>
        <w:rPr>
          <w:rFonts w:ascii="仿宋_GB2312" w:hAnsi="楷体_GB2312" w:eastAsia="仿宋_GB2312" w:cs="楷体_GB2312"/>
          <w:kern w:val="2"/>
          <w:sz w:val="32"/>
          <w:szCs w:val="32"/>
        </w:rPr>
        <w:t>具体计划：</w:t>
      </w:r>
      <w:r>
        <w:rPr>
          <w:rFonts w:hint="eastAsia" w:ascii="仿宋_GB2312" w:hAnsi="仿宋" w:eastAsia="仿宋_GB2312"/>
          <w:color w:val="auto"/>
          <w:sz w:val="32"/>
          <w:szCs w:val="32"/>
          <w:lang w:eastAsia="zh-CN"/>
        </w:rPr>
        <w:t>与三区监测责任部门齐抓共管，继续</w:t>
      </w:r>
      <w:r>
        <w:rPr>
          <w:rFonts w:hint="eastAsia" w:ascii="仿宋_GB2312" w:eastAsia="仿宋_GB2312"/>
          <w:color w:val="auto"/>
          <w:sz w:val="32"/>
          <w:szCs w:val="32"/>
          <w:lang w:eastAsia="zh-CN"/>
        </w:rPr>
        <w:t>和市卫健委联合印发工作方案，部署全市监测工作目标，明确各责任部门分工，</w:t>
      </w:r>
      <w:r>
        <w:rPr>
          <w:rFonts w:hint="eastAsia" w:ascii="仿宋_GB2312" w:hAnsi="仿宋" w:eastAsia="仿宋_GB2312" w:cs="Times New Roman"/>
          <w:color w:val="auto"/>
          <w:sz w:val="32"/>
          <w:szCs w:val="32"/>
          <w:lang w:eastAsia="zh-CN"/>
        </w:rPr>
        <w:t>共同完成202</w:t>
      </w:r>
      <w:r>
        <w:rPr>
          <w:rFonts w:hint="eastAsia" w:ascii="仿宋_GB2312" w:hAnsi="仿宋" w:eastAsia="仿宋_GB2312" w:cs="Times New Roman"/>
          <w:color w:val="auto"/>
          <w:sz w:val="32"/>
          <w:szCs w:val="32"/>
          <w:lang w:val="en-US" w:eastAsia="zh-CN"/>
        </w:rPr>
        <w:t>5</w:t>
      </w:r>
      <w:r>
        <w:rPr>
          <w:rFonts w:hint="eastAsia" w:ascii="仿宋_GB2312" w:hAnsi="仿宋" w:eastAsia="仿宋_GB2312" w:cs="Times New Roman"/>
          <w:color w:val="auto"/>
          <w:sz w:val="32"/>
          <w:szCs w:val="32"/>
          <w:lang w:eastAsia="zh-CN"/>
        </w:rPr>
        <w:t>年</w:t>
      </w:r>
      <w:r>
        <w:rPr>
          <w:rFonts w:hint="eastAsia" w:ascii="仿宋_GB2312" w:hAnsi="仿宋" w:eastAsia="仿宋_GB2312"/>
          <w:color w:val="auto"/>
          <w:sz w:val="32"/>
          <w:szCs w:val="32"/>
          <w:lang w:eastAsia="zh-CN"/>
        </w:rPr>
        <w:t>“两品一械”不良反应（事件）</w:t>
      </w:r>
      <w:r>
        <w:rPr>
          <w:rFonts w:hint="eastAsia" w:ascii="仿宋_GB2312" w:hAnsi="仿宋" w:eastAsia="仿宋_GB2312" w:cs="Times New Roman"/>
          <w:color w:val="auto"/>
          <w:sz w:val="32"/>
          <w:szCs w:val="32"/>
          <w:lang w:eastAsia="zh-CN"/>
        </w:rPr>
        <w:t>监测和药物滥用监测工作目标。</w:t>
      </w:r>
    </w:p>
    <w:p w14:paraId="79E4D504">
      <w:pPr>
        <w:pStyle w:val="10"/>
        <w:numPr>
          <w:ilvl w:val="0"/>
          <w:numId w:val="0"/>
        </w:numPr>
        <w:spacing w:after="0" w:line="560" w:lineRule="exact"/>
        <w:ind w:left="0" w:leftChars="0" w:firstLine="640" w:firstLineChars="200"/>
        <w:rPr>
          <w:rFonts w:hint="eastAsia" w:ascii="仿宋_GB2312" w:hAnsi="楷体_GB2312" w:eastAsia="仿宋_GB2312" w:cs="楷体_GB2312"/>
          <w:kern w:val="2"/>
          <w:sz w:val="32"/>
          <w:szCs w:val="32"/>
          <w:lang w:eastAsia="zh-CN"/>
        </w:rPr>
      </w:pPr>
      <w:r>
        <w:rPr>
          <w:rFonts w:hint="eastAsia" w:ascii="仿宋_GB2312" w:hAnsi="楷体_GB2312" w:eastAsia="仿宋_GB2312" w:cs="楷体_GB2312"/>
          <w:kern w:val="2"/>
          <w:sz w:val="32"/>
          <w:szCs w:val="32"/>
          <w:lang w:val="en-US" w:eastAsia="zh-CN" w:bidi="ar-SA"/>
        </w:rPr>
        <w:t>2.</w:t>
      </w:r>
      <w:r>
        <w:rPr>
          <w:rFonts w:ascii="仿宋_GB2312" w:hAnsi="楷体_GB2312" w:eastAsia="仿宋_GB2312" w:cs="楷体_GB2312"/>
          <w:kern w:val="2"/>
          <w:sz w:val="32"/>
          <w:szCs w:val="32"/>
        </w:rPr>
        <w:t>具体目标：有效发挥医疗机构报告主渠道作用</w:t>
      </w:r>
      <w:r>
        <w:rPr>
          <w:rFonts w:hint="eastAsia" w:ascii="仿宋_GB2312" w:hAnsi="楷体_GB2312" w:eastAsia="仿宋_GB2312" w:cs="楷体_GB2312"/>
          <w:kern w:val="2"/>
          <w:sz w:val="32"/>
          <w:szCs w:val="32"/>
          <w:lang w:eastAsia="zh-CN"/>
        </w:rPr>
        <w:t>。</w:t>
      </w:r>
    </w:p>
    <w:p w14:paraId="0DCA879B">
      <w:pPr>
        <w:pStyle w:val="10"/>
        <w:numPr>
          <w:ilvl w:val="0"/>
          <w:numId w:val="0"/>
        </w:numPr>
        <w:spacing w:after="0" w:line="560" w:lineRule="exact"/>
        <w:ind w:left="0" w:leftChars="0" w:firstLine="640" w:firstLineChars="200"/>
        <w:rPr>
          <w:rFonts w:hint="eastAsia" w:ascii="仿宋_GB2312" w:hAnsi="楷体_GB2312" w:eastAsia="仿宋_GB2312" w:cs="楷体_GB2312"/>
          <w:kern w:val="2"/>
          <w:sz w:val="32"/>
          <w:szCs w:val="32"/>
          <w:lang w:eastAsia="zh-CN"/>
        </w:rPr>
      </w:pPr>
      <w:r>
        <w:rPr>
          <w:rFonts w:ascii="仿宋_GB2312" w:hAnsi="楷体_GB2312" w:eastAsia="仿宋_GB2312" w:cs="楷体_GB2312"/>
          <w:kern w:val="2"/>
          <w:sz w:val="32"/>
          <w:szCs w:val="32"/>
        </w:rPr>
        <w:t>具体举措：和市局相关科室联合督查</w:t>
      </w:r>
      <w:r>
        <w:rPr>
          <w:rFonts w:hint="eastAsia" w:ascii="仿宋_GB2312" w:hAnsi="楷体_GB2312" w:eastAsia="仿宋_GB2312" w:cs="楷体_GB2312"/>
          <w:kern w:val="2"/>
          <w:sz w:val="32"/>
          <w:szCs w:val="32"/>
          <w:lang w:eastAsia="zh-CN"/>
        </w:rPr>
        <w:t>。</w:t>
      </w:r>
    </w:p>
    <w:p w14:paraId="07223D72">
      <w:pPr>
        <w:pStyle w:val="10"/>
        <w:numPr>
          <w:ilvl w:val="0"/>
          <w:numId w:val="0"/>
        </w:numPr>
        <w:spacing w:after="0" w:line="560" w:lineRule="exact"/>
        <w:ind w:left="0" w:leftChars="0" w:firstLine="640" w:firstLineChars="200"/>
        <w:rPr>
          <w:rFonts w:ascii="仿宋_GB2312" w:hAnsi="楷体_GB2312" w:eastAsia="仿宋_GB2312" w:cs="楷体_GB2312"/>
          <w:kern w:val="2"/>
          <w:sz w:val="32"/>
          <w:szCs w:val="32"/>
        </w:rPr>
      </w:pPr>
      <w:r>
        <w:rPr>
          <w:rFonts w:ascii="仿宋_GB2312" w:hAnsi="楷体_GB2312" w:eastAsia="仿宋_GB2312" w:cs="楷体_GB2312"/>
          <w:kern w:val="2"/>
          <w:sz w:val="32"/>
          <w:szCs w:val="32"/>
        </w:rPr>
        <w:t>具体计划：2025年对全市二级及以上医疗机构实现全覆盖督查，紧紧围绕不良反应报告收集情况，督促医疗机构认真履行不良反应监测义务。</w:t>
      </w:r>
      <w:r>
        <w:rPr>
          <w:rFonts w:hint="eastAsia" w:ascii="仿宋_GB2312" w:hAnsi="仿宋" w:eastAsia="仿宋_GB2312" w:cs="Times New Roman"/>
          <w:color w:val="auto"/>
          <w:sz w:val="32"/>
          <w:szCs w:val="32"/>
          <w:lang w:eastAsia="zh-CN"/>
        </w:rPr>
        <w:t>提高药械妆风险研判和应急处置能力。对收集的药械妆不良反应（事件）认真分析研判，至少挖掘药品、医疗器械不良反应（事件）可疑风险信号各</w:t>
      </w:r>
      <w:r>
        <w:rPr>
          <w:rFonts w:hint="eastAsia" w:ascii="仿宋_GB2312" w:hAnsi="仿宋" w:eastAsia="仿宋_GB2312" w:cs="Times New Roman"/>
          <w:color w:val="auto"/>
          <w:sz w:val="32"/>
          <w:szCs w:val="32"/>
          <w:lang w:val="en-US" w:eastAsia="zh-CN"/>
        </w:rPr>
        <w:t>1例</w:t>
      </w:r>
      <w:r>
        <w:rPr>
          <w:rFonts w:hint="eastAsia" w:ascii="仿宋_GB2312" w:hAnsi="仿宋" w:eastAsia="仿宋_GB2312"/>
          <w:color w:val="auto"/>
          <w:sz w:val="32"/>
          <w:szCs w:val="32"/>
        </w:rPr>
        <w:t>。</w:t>
      </w:r>
    </w:p>
    <w:p w14:paraId="007002EF">
      <w:pPr>
        <w:pStyle w:val="10"/>
        <w:numPr>
          <w:ilvl w:val="0"/>
          <w:numId w:val="0"/>
        </w:numPr>
        <w:spacing w:after="0" w:line="560" w:lineRule="exact"/>
        <w:ind w:left="0" w:leftChars="0" w:firstLine="640" w:firstLineChars="200"/>
        <w:rPr>
          <w:rFonts w:ascii="仿宋_GB2312" w:hAnsi="楷体_GB2312" w:eastAsia="仿宋_GB2312" w:cs="楷体_GB2312"/>
          <w:kern w:val="2"/>
          <w:sz w:val="32"/>
          <w:szCs w:val="32"/>
        </w:rPr>
      </w:pPr>
      <w:r>
        <w:rPr>
          <w:rFonts w:hint="eastAsia" w:ascii="仿宋_GB2312" w:hAnsi="楷体_GB2312" w:eastAsia="仿宋_GB2312" w:cs="楷体_GB2312"/>
          <w:kern w:val="2"/>
          <w:sz w:val="32"/>
          <w:szCs w:val="32"/>
          <w:lang w:val="en-US" w:eastAsia="zh-CN" w:bidi="ar-SA"/>
        </w:rPr>
        <w:t>3.</w:t>
      </w:r>
      <w:r>
        <w:rPr>
          <w:rFonts w:ascii="仿宋_GB2312" w:hAnsi="楷体_GB2312" w:eastAsia="仿宋_GB2312" w:cs="楷体_GB2312"/>
          <w:kern w:val="2"/>
          <w:sz w:val="32"/>
          <w:szCs w:val="32"/>
        </w:rPr>
        <w:t>具体目标：加大对医务人员的不良反应知识培训力度</w:t>
      </w:r>
      <w:r>
        <w:rPr>
          <w:rFonts w:hint="eastAsia" w:ascii="仿宋_GB2312" w:hAnsi="楷体_GB2312" w:eastAsia="仿宋_GB2312" w:cs="楷体_GB2312"/>
          <w:kern w:val="2"/>
          <w:sz w:val="32"/>
          <w:szCs w:val="32"/>
          <w:lang w:eastAsia="zh-CN"/>
        </w:rPr>
        <w:t>。</w:t>
      </w:r>
    </w:p>
    <w:p w14:paraId="1778EEE9">
      <w:pPr>
        <w:pStyle w:val="10"/>
        <w:numPr>
          <w:ilvl w:val="0"/>
          <w:numId w:val="0"/>
        </w:numPr>
        <w:spacing w:after="0" w:line="560" w:lineRule="exact"/>
        <w:ind w:left="0" w:leftChars="0" w:firstLine="640" w:firstLineChars="200"/>
        <w:rPr>
          <w:rFonts w:ascii="仿宋_GB2312" w:hAnsi="楷体_GB2312" w:eastAsia="仿宋_GB2312" w:cs="楷体_GB2312"/>
          <w:kern w:val="2"/>
          <w:sz w:val="32"/>
          <w:szCs w:val="32"/>
        </w:rPr>
      </w:pPr>
      <w:r>
        <w:rPr>
          <w:rFonts w:ascii="仿宋_GB2312" w:hAnsi="楷体_GB2312" w:eastAsia="仿宋_GB2312" w:cs="楷体_GB2312"/>
          <w:kern w:val="2"/>
          <w:sz w:val="32"/>
          <w:szCs w:val="32"/>
        </w:rPr>
        <w:t>具体举措：主动下基层，对上报人员开展有针对性的培训。</w:t>
      </w:r>
    </w:p>
    <w:p w14:paraId="08DAFA33">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ascii="仿宋_GB2312" w:hAnsi="楷体_GB2312" w:eastAsia="仿宋_GB2312" w:cs="楷体_GB2312"/>
          <w:kern w:val="2"/>
          <w:sz w:val="32"/>
          <w:szCs w:val="32"/>
        </w:rPr>
      </w:pPr>
      <w:r>
        <w:rPr>
          <w:rFonts w:ascii="仿宋_GB2312" w:hAnsi="楷体_GB2312" w:eastAsia="仿宋_GB2312" w:cs="楷体_GB2312"/>
          <w:kern w:val="2"/>
          <w:sz w:val="32"/>
          <w:szCs w:val="32"/>
        </w:rPr>
        <w:t>具体计划：</w:t>
      </w:r>
      <w:r>
        <w:rPr>
          <w:rFonts w:hint="eastAsia" w:ascii="仿宋_GB2312" w:hAnsi="仿宋_GB2312" w:eastAsia="仿宋_GB2312" w:cs="仿宋_GB2312"/>
          <w:b w:val="0"/>
          <w:bCs w:val="0"/>
          <w:color w:val="auto"/>
          <w:sz w:val="32"/>
          <w:szCs w:val="32"/>
          <w:shd w:val="clear" w:color="auto" w:fill="FFFFFF"/>
          <w:lang w:eastAsia="zh-CN"/>
        </w:rPr>
        <w:t>有效发挥</w:t>
      </w:r>
      <w:r>
        <w:rPr>
          <w:rFonts w:hint="eastAsia" w:ascii="仿宋_GB2312" w:hAnsi="仿宋_GB2312" w:eastAsia="仿宋_GB2312" w:cs="仿宋_GB2312"/>
          <w:color w:val="auto"/>
          <w:sz w:val="32"/>
          <w:szCs w:val="32"/>
          <w:lang w:val="en-US" w:eastAsia="zh-CN"/>
        </w:rPr>
        <w:t>讲师团作用，为全市各级医疗机构开展“两品一械”不良反应（事件）监测方面的培训授课不少于3场。</w:t>
      </w:r>
    </w:p>
    <w:p w14:paraId="5BE9D29A">
      <w:pPr>
        <w:pStyle w:val="10"/>
        <w:rPr>
          <w:rFonts w:hint="default"/>
        </w:rPr>
      </w:pPr>
    </w:p>
    <w:p w14:paraId="34413829">
      <w:pPr>
        <w:widowControl/>
        <w:spacing w:line="560" w:lineRule="exact"/>
        <w:ind w:firstLine="723" w:firstLineChars="200"/>
        <w:jc w:val="center"/>
        <w:rPr>
          <w:rFonts w:ascii="仿宋_GB2312" w:eastAsia="仿宋_GB2312"/>
          <w:b/>
          <w:sz w:val="36"/>
          <w:szCs w:val="32"/>
        </w:rPr>
      </w:pPr>
      <w:r>
        <w:rPr>
          <w:rFonts w:hint="eastAsia" w:ascii="仿宋_GB2312" w:hAnsi="仿宋" w:eastAsia="仿宋_GB2312" w:cs="仿宋"/>
          <w:b/>
          <w:bCs/>
          <w:kern w:val="0"/>
          <w:sz w:val="36"/>
          <w:szCs w:val="32"/>
          <w:lang w:bidi="ar"/>
        </w:rPr>
        <w:t>第二部分 2025年</w:t>
      </w:r>
      <w:r>
        <w:rPr>
          <w:rFonts w:hint="eastAsia" w:ascii="仿宋_GB2312" w:hAnsi="仿宋" w:eastAsia="仿宋_GB2312" w:cs="仿宋"/>
          <w:b/>
          <w:bCs/>
          <w:kern w:val="0"/>
          <w:sz w:val="36"/>
          <w:szCs w:val="32"/>
          <w:lang w:val="en-US" w:eastAsia="zh-CN" w:bidi="ar"/>
        </w:rPr>
        <w:t>单位</w:t>
      </w:r>
      <w:r>
        <w:rPr>
          <w:rFonts w:hint="eastAsia" w:ascii="仿宋_GB2312" w:hAnsi="仿宋" w:eastAsia="仿宋_GB2312" w:cs="仿宋"/>
          <w:b/>
          <w:bCs/>
          <w:kern w:val="0"/>
          <w:sz w:val="36"/>
          <w:szCs w:val="32"/>
          <w:lang w:bidi="ar"/>
        </w:rPr>
        <w:t>预算安排情况说明</w:t>
      </w:r>
    </w:p>
    <w:p w14:paraId="45144B0B">
      <w:pPr>
        <w:widowControl/>
        <w:spacing w:line="560" w:lineRule="exact"/>
        <w:ind w:firstLine="643" w:firstLineChars="200"/>
        <w:jc w:val="left"/>
        <w:rPr>
          <w:rFonts w:ascii="仿宋_GB2312" w:hAnsi="仿宋" w:eastAsia="仿宋_GB2312" w:cs="仿宋"/>
          <w:b/>
          <w:bCs/>
          <w:kern w:val="0"/>
          <w:sz w:val="32"/>
          <w:szCs w:val="32"/>
          <w:lang w:bidi="ar"/>
        </w:rPr>
      </w:pPr>
    </w:p>
    <w:p w14:paraId="368FD025">
      <w:pPr>
        <w:widowControl/>
        <w:spacing w:line="560" w:lineRule="exact"/>
        <w:ind w:firstLine="640" w:firstLineChars="200"/>
        <w:jc w:val="left"/>
        <w:rPr>
          <w:rFonts w:ascii="黑体" w:hAnsi="黑体" w:eastAsia="黑体"/>
          <w:sz w:val="32"/>
          <w:szCs w:val="32"/>
        </w:rPr>
      </w:pPr>
      <w:r>
        <w:rPr>
          <w:rFonts w:hint="eastAsia" w:ascii="黑体" w:hAnsi="黑体" w:eastAsia="黑体" w:cs="仿宋"/>
          <w:bCs/>
          <w:kern w:val="0"/>
          <w:sz w:val="32"/>
          <w:szCs w:val="32"/>
          <w:lang w:bidi="ar"/>
        </w:rPr>
        <w:t>一、2025年</w:t>
      </w:r>
      <w:r>
        <w:rPr>
          <w:rFonts w:hint="eastAsia" w:ascii="黑体" w:hAnsi="黑体" w:eastAsia="黑体" w:cs="仿宋"/>
          <w:bCs/>
          <w:kern w:val="0"/>
          <w:sz w:val="32"/>
          <w:szCs w:val="32"/>
          <w:lang w:val="en-US" w:eastAsia="zh-CN" w:bidi="ar"/>
        </w:rPr>
        <w:t>单位</w:t>
      </w:r>
      <w:r>
        <w:rPr>
          <w:rFonts w:hint="eastAsia" w:ascii="黑体" w:hAnsi="黑体" w:eastAsia="黑体" w:cs="仿宋"/>
          <w:bCs/>
          <w:kern w:val="0"/>
          <w:sz w:val="32"/>
          <w:szCs w:val="32"/>
          <w:lang w:bidi="ar"/>
        </w:rPr>
        <w:t>预算收支总体情况说明</w:t>
      </w:r>
    </w:p>
    <w:p w14:paraId="4630EB8A">
      <w:pPr>
        <w:pStyle w:val="3"/>
        <w:tabs>
          <w:tab w:val="left" w:pos="5840"/>
          <w:tab w:val="left" w:pos="7858"/>
          <w:tab w:val="left" w:pos="9328"/>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乌海市药物警戒中心单位2025年度收入、支出预算总计197.78万元，与上年相比收、支预算总计增加5.51万元，增加2.86%，主要原因是人员工资增加，住房公积金、养老保险、医疗保险等增加：</w:t>
      </w:r>
    </w:p>
    <w:p w14:paraId="5DC8EDA4">
      <w:pPr>
        <w:pStyle w:val="3"/>
        <w:tabs>
          <w:tab w:val="left" w:pos="4275"/>
        </w:tabs>
        <w:spacing w:after="0"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（一）收入预算总计197.78万元。包括：</w:t>
      </w:r>
    </w:p>
    <w:p w14:paraId="005184A0">
      <w:pPr>
        <w:pStyle w:val="3"/>
        <w:tabs>
          <w:tab w:val="left" w:pos="3792"/>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1．本年收入合计197.78万元。</w:t>
      </w:r>
    </w:p>
    <w:p w14:paraId="52598BA5">
      <w:pPr>
        <w:pStyle w:val="3"/>
        <w:tabs>
          <w:tab w:val="left" w:pos="3792"/>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（1）一般公共预算拨款收入197.78万元，与上年相比增加5.51万元，增加2.86%。主要原因是人员工资增加，住房公积金、养老保险、医疗保险等增加。</w:t>
      </w:r>
    </w:p>
    <w:p w14:paraId="504F2883">
      <w:pPr>
        <w:pStyle w:val="3"/>
        <w:tabs>
          <w:tab w:val="left" w:pos="3792"/>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（2）政府性基金预算拨款收入0万元，与上年相比增加0万元，增加0%。主要原因是不存在此项内容。</w:t>
      </w:r>
    </w:p>
    <w:p w14:paraId="07D1FD37">
      <w:pPr>
        <w:pStyle w:val="3"/>
        <w:tabs>
          <w:tab w:val="left" w:pos="3792"/>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（3）国有资本经营预算拨款收入0万元，与上年相比增加0万元，增加0%。主要原因是不存在此项内容。</w:t>
      </w:r>
    </w:p>
    <w:p w14:paraId="1DEBCF5F">
      <w:pPr>
        <w:pStyle w:val="3"/>
        <w:tabs>
          <w:tab w:val="left" w:pos="3792"/>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（4）财政专户管理资金收入0万元，与上年相比增加0万元，增加0%。主要原因是不存在此项内容。</w:t>
      </w:r>
    </w:p>
    <w:p w14:paraId="7A7F1F50">
      <w:pPr>
        <w:pStyle w:val="3"/>
        <w:tabs>
          <w:tab w:val="left" w:pos="3792"/>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（5）事业收入0万元，与上年相比增加0万元，增加0%。主要原因是不存在此项内容。</w:t>
      </w:r>
    </w:p>
    <w:p w14:paraId="79E13BEA">
      <w:pPr>
        <w:pStyle w:val="3"/>
        <w:tabs>
          <w:tab w:val="left" w:pos="1389"/>
          <w:tab w:val="left" w:pos="4911"/>
          <w:tab w:val="left" w:pos="590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（6）事业单位经营收入0万元，与上年相比增加0万元，增加0%。主要原因是不存在此项内容。</w:t>
      </w:r>
    </w:p>
    <w:p w14:paraId="50C489F3">
      <w:pPr>
        <w:pStyle w:val="3"/>
        <w:tabs>
          <w:tab w:val="left" w:pos="1389"/>
          <w:tab w:val="left" w:pos="4911"/>
          <w:tab w:val="left" w:pos="590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（7）上级补助收入0万元，与上年相比增加0万元，增加0%。主要原因是不存在此项内容。</w:t>
      </w:r>
    </w:p>
    <w:p w14:paraId="1EED188E">
      <w:pPr>
        <w:pStyle w:val="3"/>
        <w:tabs>
          <w:tab w:val="left" w:pos="1389"/>
          <w:tab w:val="left" w:pos="4911"/>
          <w:tab w:val="left" w:pos="590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（8）附属单位上缴收入0万元，与上年相比增加0万元，增加0%。主要原因是不存在此项内容。</w:t>
      </w:r>
    </w:p>
    <w:p w14:paraId="08D3BAEF">
      <w:pPr>
        <w:pStyle w:val="3"/>
        <w:tabs>
          <w:tab w:val="left" w:pos="1389"/>
          <w:tab w:val="left" w:pos="4911"/>
          <w:tab w:val="left" w:pos="590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（9）其他收入0万元，与上年相比增加0万元，增加0%。主要原因是不存在此项内容。</w:t>
      </w:r>
    </w:p>
    <w:p w14:paraId="3DB710E8">
      <w:pPr>
        <w:pStyle w:val="3"/>
        <w:tabs>
          <w:tab w:val="left" w:pos="1389"/>
          <w:tab w:val="left" w:pos="4911"/>
          <w:tab w:val="left" w:pos="590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2．上年结转结余为0万元。与上年相比增加0万元，增加0%。主要原因是上年年终无结转结余。</w:t>
      </w:r>
    </w:p>
    <w:p w14:paraId="16B12035">
      <w:pPr>
        <w:pStyle w:val="3"/>
        <w:tabs>
          <w:tab w:val="left" w:pos="4275"/>
        </w:tabs>
        <w:spacing w:after="0"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（二）支出预算总计197.78万元。包括：</w:t>
      </w:r>
    </w:p>
    <w:p w14:paraId="242D4482">
      <w:pPr>
        <w:pStyle w:val="3"/>
        <w:tabs>
          <w:tab w:val="left" w:pos="3792"/>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1．本年支出合计197.78万元。</w:t>
      </w:r>
    </w:p>
    <w:p w14:paraId="77A9EBFE">
      <w:pPr>
        <w:pStyle w:val="3"/>
        <w:tabs>
          <w:tab w:val="left" w:pos="3288"/>
          <w:tab w:val="left" w:pos="5641"/>
          <w:tab w:val="left" w:pos="6778"/>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（1）一般公共服务支出（类）146.58万元，主要用于单位在职人员工资、津补贴和维持单位正常运转的日常公用经费。与上年相比增加3.59万元，增加2.51%。主要原因是其他工资增加。</w:t>
      </w:r>
    </w:p>
    <w:p w14:paraId="08C13B5A">
      <w:pPr>
        <w:pStyle w:val="3"/>
        <w:tabs>
          <w:tab w:val="left" w:pos="3288"/>
          <w:tab w:val="left" w:pos="5641"/>
          <w:tab w:val="left" w:pos="6778"/>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社会保障和就业支出（类）25.95万元，主要用于发放人员社保费，例如养老保险、失业保险等。与上年相比增加1.09万元，增加4.38%。主要原因是人员工资增加，养老保险、失业保险等缴纳基数增加，相应的社保类费用增加。</w:t>
      </w:r>
    </w:p>
    <w:p w14:paraId="401394AF">
      <w:pPr>
        <w:pStyle w:val="3"/>
        <w:tabs>
          <w:tab w:val="left" w:pos="3288"/>
          <w:tab w:val="left" w:pos="5641"/>
          <w:tab w:val="left" w:pos="6778"/>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（3）卫生健康支出（类）9.71万元，主要用于发放人员的医疗保险、生育保险等。与上年相比增加0.32万元，增加3.38%。主要原因是医疗保险缴费基数增加。</w:t>
      </w:r>
    </w:p>
    <w:p w14:paraId="308F5D50">
      <w:pPr>
        <w:pStyle w:val="3"/>
        <w:tabs>
          <w:tab w:val="left" w:pos="3288"/>
          <w:tab w:val="left" w:pos="5641"/>
          <w:tab w:val="left" w:pos="6778"/>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（4）住房保障支出（类）15.54万元，主要用于发放人员的住房公积金。与上年相比增加0.51万元，增加3.38%。主要原因是人员工资增加，住房公积金缴纳基数增加，住房公积金支出增加。</w:t>
      </w:r>
    </w:p>
    <w:p w14:paraId="44A0CE23">
      <w:pPr>
        <w:pStyle w:val="3"/>
        <w:numPr>
          <w:ilvl w:val="0"/>
          <w:numId w:val="1"/>
        </w:numPr>
        <w:tabs>
          <w:tab w:val="left" w:pos="4112"/>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年终结转结余为0万元，主要原因是</w:t>
      </w: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rPr>
        <w:t>年终无结转结余。</w:t>
      </w:r>
    </w:p>
    <w:p w14:paraId="6810E4F6">
      <w:pPr>
        <w:spacing w:line="560" w:lineRule="exact"/>
        <w:ind w:firstLine="640" w:firstLineChars="200"/>
        <w:outlineLvl w:val="0"/>
        <w:rPr>
          <w:rFonts w:eastAsia="黑体" w:cs="黑体"/>
          <w:sz w:val="32"/>
          <w:szCs w:val="36"/>
        </w:rPr>
      </w:pPr>
      <w:r>
        <w:rPr>
          <w:rFonts w:hint="eastAsia" w:eastAsia="黑体" w:cs="黑体"/>
          <w:sz w:val="32"/>
          <w:szCs w:val="36"/>
        </w:rPr>
        <w:t>二、收入预算情况说明</w:t>
      </w:r>
    </w:p>
    <w:p w14:paraId="29FBBE5D">
      <w:pPr>
        <w:pStyle w:val="3"/>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乌海市药物警戒中心单位2025年收入预算合计197.78万元，包括本年收入197.78万元，上年结转结余0万元。</w:t>
      </w:r>
    </w:p>
    <w:p w14:paraId="39C2BA7F">
      <w:pPr>
        <w:pStyle w:val="3"/>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其中：</w:t>
      </w:r>
    </w:p>
    <w:p w14:paraId="7E796343">
      <w:pPr>
        <w:pStyle w:val="3"/>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本年一般公共预算收入197.78万元，占100%；</w:t>
      </w:r>
    </w:p>
    <w:p w14:paraId="1D60DFAD">
      <w:pPr>
        <w:pStyle w:val="3"/>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本年国有资本经营预算收入0万元，占0%；</w:t>
      </w:r>
    </w:p>
    <w:p w14:paraId="1E6D8930">
      <w:pPr>
        <w:pStyle w:val="3"/>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本年财政专户管理资金0万元，占0%；</w:t>
      </w:r>
    </w:p>
    <w:p w14:paraId="6B829A37">
      <w:pPr>
        <w:pStyle w:val="3"/>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本年事业收入0万元，占0%；</w:t>
      </w:r>
    </w:p>
    <w:p w14:paraId="45A92240">
      <w:pPr>
        <w:pStyle w:val="3"/>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本年事业单位经营收入0万元，占0%；</w:t>
      </w:r>
    </w:p>
    <w:p w14:paraId="5A3BF7D1">
      <w:pPr>
        <w:pStyle w:val="3"/>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本年上级补助收入0万元，占0%；</w:t>
      </w:r>
    </w:p>
    <w:p w14:paraId="0293D2CB">
      <w:pPr>
        <w:pStyle w:val="3"/>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本年附属单位上缴收入0万元，占0%；</w:t>
      </w:r>
    </w:p>
    <w:p w14:paraId="674A189B">
      <w:pPr>
        <w:pStyle w:val="3"/>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本年其他收入0万元，占0%；</w:t>
      </w:r>
    </w:p>
    <w:p w14:paraId="1F6212C9">
      <w:pPr>
        <w:pStyle w:val="3"/>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上年结转结余的一般公共预算收入0万元，占0%；</w:t>
      </w:r>
    </w:p>
    <w:p w14:paraId="35FD549F">
      <w:pPr>
        <w:pStyle w:val="3"/>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上年结转结余的政府性基金预算收入0万元，占0%；</w:t>
      </w:r>
    </w:p>
    <w:p w14:paraId="0D0E2849">
      <w:pPr>
        <w:pStyle w:val="3"/>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上年结转结余的国有资本经营预算收入0万元，占0%；</w:t>
      </w:r>
    </w:p>
    <w:p w14:paraId="0B48301F">
      <w:pPr>
        <w:pStyle w:val="3"/>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上年结转结余的财政专户管理资金0万元，占0%；</w:t>
      </w:r>
    </w:p>
    <w:p w14:paraId="79E2CF54">
      <w:pPr>
        <w:pStyle w:val="3"/>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上年结转结余的单位资金0万元，占0%；</w:t>
      </w:r>
    </w:p>
    <w:p w14:paraId="3BA0F316">
      <w:pPr>
        <w:pStyle w:val="10"/>
        <w:rPr>
          <w:rFonts w:hint="default"/>
        </w:rPr>
      </w:pPr>
      <w:r>
        <w:drawing>
          <wp:inline distT="0" distB="0" distL="114300" distR="114300">
            <wp:extent cx="5448300" cy="32067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448300" cy="3206750"/>
                    </a:xfrm>
                    <a:prstGeom prst="rect">
                      <a:avLst/>
                    </a:prstGeom>
                    <a:noFill/>
                    <a:ln>
                      <a:noFill/>
                    </a:ln>
                  </pic:spPr>
                </pic:pic>
              </a:graphicData>
            </a:graphic>
          </wp:inline>
        </w:drawing>
      </w:r>
    </w:p>
    <w:p w14:paraId="289A6B56">
      <w:pPr>
        <w:pStyle w:val="10"/>
        <w:tabs>
          <w:tab w:val="left" w:pos="0"/>
        </w:tabs>
        <w:ind w:left="0" w:leftChars="0" w:firstLine="0"/>
        <w:jc w:val="center"/>
        <w:rPr>
          <w:rFonts w:hint="default" w:ascii="Times New Roman" w:hAnsi="Times New Roman" w:eastAsia="仿宋_GB2312" w:cs="仿宋"/>
          <w:sz w:val="32"/>
          <w:szCs w:val="32"/>
        </w:rPr>
      </w:pPr>
      <w:r>
        <w:rPr>
          <w:rFonts w:eastAsia="仿宋_GB2312"/>
          <w:sz w:val="32"/>
          <w:szCs w:val="32"/>
        </w:rPr>
        <w:t>图1.收入预算图</w:t>
      </w:r>
    </w:p>
    <w:p w14:paraId="77D7FB4C">
      <w:pPr>
        <w:spacing w:line="560" w:lineRule="exact"/>
        <w:ind w:firstLine="643" w:firstLineChars="200"/>
        <w:outlineLvl w:val="0"/>
        <w:rPr>
          <w:rFonts w:eastAsia="黑体" w:cs="黑体"/>
          <w:b/>
          <w:bCs/>
          <w:sz w:val="32"/>
          <w:szCs w:val="36"/>
        </w:rPr>
      </w:pPr>
      <w:r>
        <w:rPr>
          <w:rFonts w:hint="eastAsia" w:eastAsia="黑体" w:cs="黑体"/>
          <w:b/>
          <w:bCs/>
          <w:sz w:val="32"/>
          <w:szCs w:val="36"/>
        </w:rPr>
        <w:t>三、支出预算情况说明</w:t>
      </w:r>
    </w:p>
    <w:p w14:paraId="60C00836">
      <w:pPr>
        <w:pStyle w:val="3"/>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乌海市药物警戒中心单位2025年支出预算合计197.78万元，其中：</w:t>
      </w:r>
    </w:p>
    <w:p w14:paraId="4207E811">
      <w:pPr>
        <w:pStyle w:val="3"/>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基本支出192.78万元，占97.47%；</w:t>
      </w:r>
    </w:p>
    <w:p w14:paraId="1866A9A7">
      <w:pPr>
        <w:pStyle w:val="3"/>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项目支出5万元，占2.53%；</w:t>
      </w:r>
    </w:p>
    <w:p w14:paraId="0400FC5F">
      <w:pPr>
        <w:pStyle w:val="3"/>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事业单位经营支出0万元，占0%；</w:t>
      </w:r>
    </w:p>
    <w:p w14:paraId="1939CCC2">
      <w:pPr>
        <w:pStyle w:val="3"/>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上缴上级支出0万元，占0%；</w:t>
      </w:r>
    </w:p>
    <w:p w14:paraId="35BA8FDC">
      <w:pPr>
        <w:pStyle w:val="3"/>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对附属单位补助支出0万元，占0%；</w:t>
      </w:r>
    </w:p>
    <w:p w14:paraId="77985EDF">
      <w:pPr>
        <w:pStyle w:val="10"/>
        <w:rPr>
          <w:rFonts w:hint="default" w:ascii="仿宋_GB2312" w:hAnsi="仿宋_GB2312" w:eastAsia="仿宋_GB2312" w:cs="仿宋_GB2312"/>
          <w:sz w:val="32"/>
          <w:szCs w:val="32"/>
          <w:highlight w:val="yellow"/>
          <w:lang w:bidi="ar"/>
        </w:rPr>
      </w:pPr>
      <w:r>
        <w:drawing>
          <wp:inline distT="0" distB="0" distL="114300" distR="114300">
            <wp:extent cx="5611495" cy="3025775"/>
            <wp:effectExtent l="0" t="0" r="190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611495" cy="3025775"/>
                    </a:xfrm>
                    <a:prstGeom prst="rect">
                      <a:avLst/>
                    </a:prstGeom>
                    <a:noFill/>
                    <a:ln>
                      <a:noFill/>
                    </a:ln>
                  </pic:spPr>
                </pic:pic>
              </a:graphicData>
            </a:graphic>
          </wp:inline>
        </w:drawing>
      </w:r>
    </w:p>
    <w:p w14:paraId="5F092A34">
      <w:pPr>
        <w:pStyle w:val="10"/>
        <w:ind w:left="0" w:leftChars="0" w:firstLine="220"/>
        <w:jc w:val="center"/>
        <w:rPr>
          <w:rFonts w:hint="default" w:ascii="仿宋_GB2312" w:hAnsi="仿宋_GB2312" w:eastAsia="仿宋_GB2312" w:cs="仿宋_GB2312"/>
          <w:sz w:val="32"/>
          <w:szCs w:val="32"/>
          <w:highlight w:val="yellow"/>
          <w:lang w:bidi="ar"/>
        </w:rPr>
      </w:pPr>
      <w:r>
        <w:rPr>
          <w:rFonts w:eastAsia="仿宋_GB2312"/>
          <w:sz w:val="32"/>
          <w:szCs w:val="32"/>
        </w:rPr>
        <w:t>图2.支出预算图</w:t>
      </w:r>
    </w:p>
    <w:p w14:paraId="7DA50080">
      <w:pPr>
        <w:spacing w:line="560" w:lineRule="exact"/>
        <w:ind w:firstLine="640" w:firstLineChars="200"/>
        <w:outlineLvl w:val="0"/>
        <w:rPr>
          <w:rFonts w:eastAsia="黑体" w:cs="黑体"/>
          <w:sz w:val="32"/>
          <w:szCs w:val="36"/>
        </w:rPr>
      </w:pPr>
      <w:r>
        <w:rPr>
          <w:rFonts w:hint="eastAsia" w:eastAsia="黑体" w:cs="黑体"/>
          <w:sz w:val="32"/>
          <w:szCs w:val="36"/>
        </w:rPr>
        <w:t>四、财政拨款收支预算总体情况说明</w:t>
      </w:r>
    </w:p>
    <w:p w14:paraId="35C90F3D">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乌海市药物警戒中心单位2025年度财政拨款收、支总预算197.78万元。</w:t>
      </w:r>
      <w:r>
        <w:rPr>
          <w:rFonts w:hint="eastAsia" w:ascii="仿宋_GB2312" w:hAnsi="仿宋_GB2312" w:eastAsia="仿宋_GB2312" w:cs="仿宋_GB2312"/>
          <w:kern w:val="0"/>
          <w:sz w:val="32"/>
          <w:szCs w:val="32"/>
          <w:lang w:bidi="ar"/>
        </w:rPr>
        <w:t>其中本年收入安排一般公共预算财政拨款</w:t>
      </w:r>
      <w:r>
        <w:rPr>
          <w:rFonts w:hint="eastAsia" w:ascii="仿宋_GB2312" w:hAnsi="仿宋_GB2312" w:eastAsia="仿宋_GB2312" w:cs="仿宋_GB2312"/>
          <w:sz w:val="32"/>
          <w:szCs w:val="32"/>
        </w:rPr>
        <w:t>197.78</w:t>
      </w:r>
      <w:r>
        <w:rPr>
          <w:rFonts w:hint="eastAsia" w:ascii="仿宋_GB2312" w:hAnsi="仿宋_GB2312" w:eastAsia="仿宋_GB2312" w:cs="仿宋_GB2312"/>
          <w:kern w:val="0"/>
          <w:sz w:val="32"/>
          <w:szCs w:val="32"/>
          <w:lang w:bidi="ar"/>
        </w:rPr>
        <w:t>万元、占比</w:t>
      </w:r>
      <w:r>
        <w:rPr>
          <w:rFonts w:hint="eastAsia" w:ascii="仿宋_GB2312" w:hAnsi="仿宋_GB2312" w:eastAsia="仿宋_GB2312" w:cs="仿宋_GB2312"/>
          <w:sz w:val="32"/>
          <w:szCs w:val="32"/>
        </w:rPr>
        <w:t>100</w:t>
      </w:r>
      <w:r>
        <w:rPr>
          <w:rFonts w:hint="eastAsia" w:ascii="仿宋_GB2312" w:hAnsi="仿宋_GB2312" w:eastAsia="仿宋_GB2312" w:cs="仿宋_GB2312"/>
          <w:kern w:val="0"/>
          <w:sz w:val="32"/>
          <w:szCs w:val="32"/>
          <w:lang w:bidi="ar"/>
        </w:rPr>
        <w:t>%；政府性基金预算财政拨款</w:t>
      </w:r>
      <w:r>
        <w:rPr>
          <w:rFonts w:hint="eastAsia" w:ascii="仿宋_GB2312" w:hAnsi="仿宋_GB2312" w:eastAsia="仿宋_GB2312" w:cs="仿宋_GB2312"/>
          <w:sz w:val="32"/>
          <w:szCs w:val="32"/>
        </w:rPr>
        <w:t>0</w:t>
      </w:r>
      <w:r>
        <w:rPr>
          <w:rFonts w:hint="eastAsia" w:ascii="仿宋_GB2312" w:hAnsi="仿宋_GB2312" w:eastAsia="仿宋_GB2312" w:cs="仿宋_GB2312"/>
          <w:kern w:val="0"/>
          <w:sz w:val="32"/>
          <w:szCs w:val="32"/>
          <w:lang w:bidi="ar"/>
        </w:rPr>
        <w:t>万元，占比</w:t>
      </w:r>
      <w:r>
        <w:rPr>
          <w:rFonts w:hint="eastAsia" w:ascii="仿宋_GB2312" w:hAnsi="仿宋_GB2312" w:eastAsia="仿宋_GB2312" w:cs="仿宋_GB2312"/>
          <w:sz w:val="32"/>
          <w:szCs w:val="32"/>
        </w:rPr>
        <w:t>0</w:t>
      </w:r>
      <w:r>
        <w:rPr>
          <w:rFonts w:hint="eastAsia" w:ascii="仿宋_GB2312" w:hAnsi="仿宋_GB2312" w:eastAsia="仿宋_GB2312" w:cs="仿宋_GB2312"/>
          <w:kern w:val="0"/>
          <w:sz w:val="32"/>
          <w:szCs w:val="32"/>
          <w:lang w:bidi="ar"/>
        </w:rPr>
        <w:t>%；国有资本经营预算</w:t>
      </w:r>
      <w:r>
        <w:rPr>
          <w:rFonts w:hint="eastAsia" w:ascii="仿宋_GB2312" w:hAnsi="仿宋_GB2312" w:eastAsia="仿宋_GB2312" w:cs="仿宋_GB2312"/>
          <w:sz w:val="32"/>
          <w:szCs w:val="32"/>
        </w:rPr>
        <w:t>0</w:t>
      </w:r>
      <w:r>
        <w:rPr>
          <w:rFonts w:hint="eastAsia" w:ascii="仿宋_GB2312" w:hAnsi="仿宋_GB2312" w:eastAsia="仿宋_GB2312" w:cs="仿宋_GB2312"/>
          <w:kern w:val="0"/>
          <w:sz w:val="32"/>
          <w:szCs w:val="32"/>
          <w:lang w:bidi="ar"/>
        </w:rPr>
        <w:t>万元，占比</w:t>
      </w:r>
      <w:r>
        <w:rPr>
          <w:rFonts w:hint="eastAsia" w:ascii="仿宋_GB2312" w:hAnsi="仿宋_GB2312" w:eastAsia="仿宋_GB2312" w:cs="仿宋_GB2312"/>
          <w:sz w:val="32"/>
          <w:szCs w:val="32"/>
        </w:rPr>
        <w:t>0</w:t>
      </w:r>
      <w:r>
        <w:rPr>
          <w:rFonts w:hint="eastAsia" w:ascii="仿宋_GB2312" w:hAnsi="仿宋_GB2312" w:eastAsia="仿宋_GB2312" w:cs="仿宋_GB2312"/>
          <w:kern w:val="0"/>
          <w:sz w:val="32"/>
          <w:szCs w:val="32"/>
          <w:lang w:bidi="ar"/>
        </w:rPr>
        <w:t>%；上年结转</w:t>
      </w:r>
      <w:r>
        <w:rPr>
          <w:rFonts w:hint="eastAsia" w:ascii="仿宋_GB2312" w:hAnsi="仿宋_GB2312" w:eastAsia="仿宋_GB2312" w:cs="仿宋_GB2312"/>
          <w:sz w:val="32"/>
          <w:szCs w:val="32"/>
        </w:rPr>
        <w:t>0</w:t>
      </w:r>
      <w:r>
        <w:rPr>
          <w:rFonts w:hint="eastAsia" w:ascii="仿宋_GB2312" w:hAnsi="仿宋_GB2312" w:eastAsia="仿宋_GB2312" w:cs="仿宋_GB2312"/>
          <w:kern w:val="0"/>
          <w:sz w:val="32"/>
          <w:szCs w:val="32"/>
          <w:lang w:bidi="ar"/>
        </w:rPr>
        <w:t>元，占比</w:t>
      </w:r>
      <w:r>
        <w:rPr>
          <w:rFonts w:hint="eastAsia" w:ascii="仿宋_GB2312" w:hAnsi="仿宋_GB2312" w:eastAsia="仿宋_GB2312" w:cs="仿宋_GB2312"/>
          <w:sz w:val="32"/>
          <w:szCs w:val="32"/>
        </w:rPr>
        <w:t>0</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sz w:val="32"/>
          <w:szCs w:val="32"/>
        </w:rPr>
        <w:t>与上年相比，财政拨款收、支总计各增加5.51万元，增加2.86%。主要原因是人员工资增加，住房公积金、养老保险、医疗保险等增加。</w:t>
      </w:r>
    </w:p>
    <w:p w14:paraId="0E582516">
      <w:pPr>
        <w:spacing w:line="560" w:lineRule="exact"/>
        <w:ind w:firstLine="640" w:firstLineChars="200"/>
        <w:outlineLvl w:val="0"/>
        <w:rPr>
          <w:rFonts w:eastAsia="黑体" w:cs="黑体"/>
          <w:sz w:val="32"/>
          <w:szCs w:val="36"/>
        </w:rPr>
      </w:pPr>
      <w:r>
        <w:rPr>
          <w:rFonts w:hint="eastAsia" w:eastAsia="黑体" w:cs="黑体"/>
          <w:sz w:val="32"/>
          <w:szCs w:val="36"/>
        </w:rPr>
        <w:t>五、一般公共预算支出预算情况说明</w:t>
      </w:r>
    </w:p>
    <w:p w14:paraId="40B34440">
      <w:pPr>
        <w:pStyle w:val="3"/>
        <w:tabs>
          <w:tab w:val="left" w:pos="2671"/>
          <w:tab w:val="left" w:pos="5000"/>
          <w:tab w:val="left" w:pos="6190"/>
        </w:tabs>
        <w:spacing w:after="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乌海市药物警戒中心单位2025年一般公共预算财政拨款支出预算197.78万元，与上年相比增加5.51万元，增加2.86%。主要原因是人员工资增加，住房公积金、养老保险、医疗保险等增加。</w:t>
      </w:r>
      <w:r>
        <w:rPr>
          <w:rFonts w:hint="eastAsia" w:eastAsia="仿宋_GB2312"/>
          <w:sz w:val="32"/>
          <w:szCs w:val="32"/>
        </w:rPr>
        <w:t>具体情况如下：</w:t>
      </w:r>
    </w:p>
    <w:p w14:paraId="384E1CFF">
      <w:pPr>
        <w:pStyle w:val="3"/>
        <w:tabs>
          <w:tab w:val="left" w:pos="4275"/>
        </w:tabs>
        <w:spacing w:after="0"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（一）一般公共服务支出（类）</w:t>
      </w:r>
    </w:p>
    <w:p w14:paraId="27BB42FF">
      <w:pPr>
        <w:pStyle w:val="3"/>
        <w:tabs>
          <w:tab w:val="left" w:pos="4275"/>
        </w:tabs>
        <w:spacing w:after="0" w:line="560" w:lineRule="exact"/>
        <w:ind w:firstLine="640" w:firstLineChars="200"/>
        <w:rPr>
          <w:rFonts w:ascii="仿宋_GB2312" w:hAnsi="仿宋_GB2312" w:eastAsia="仿宋_GB2312" w:cs="仿宋_GB2312"/>
          <w:sz w:val="32"/>
          <w:szCs w:val="32"/>
        </w:rPr>
      </w:pPr>
      <w:r>
        <w:rPr>
          <w:rFonts w:hint="eastAsia" w:eastAsia="仿宋_GB2312"/>
          <w:sz w:val="32"/>
          <w:szCs w:val="32"/>
        </w:rPr>
        <w:t>一般公共</w:t>
      </w:r>
      <w:r>
        <w:rPr>
          <w:rFonts w:hint="eastAsia" w:ascii="仿宋_GB2312" w:hAnsi="仿宋_GB2312" w:eastAsia="仿宋_GB2312" w:cs="仿宋_GB2312"/>
          <w:sz w:val="32"/>
          <w:szCs w:val="32"/>
        </w:rPr>
        <w:t>服务支出（类）年初预算数为146.58万元，与上年相比增加3.59万元。其中：</w:t>
      </w:r>
    </w:p>
    <w:p w14:paraId="5605FABD">
      <w:pPr>
        <w:pStyle w:val="3"/>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1.群众团体事务（款）其他群众团体事务支出（项）。年初预算2.33万元，与上年相比增加0.09万元，增加3.99%。变动原因是公用经费减少。</w:t>
      </w:r>
    </w:p>
    <w:p w14:paraId="105393BB">
      <w:pPr>
        <w:pStyle w:val="3"/>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2.市场监督管理事务（款）事业运行（项）。年初预算139.25万元，与上年相比减少1.5</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万元，减少1.06%。变动原因是本年项目支出使用此款项列支。</w:t>
      </w:r>
    </w:p>
    <w:p w14:paraId="2E33436D">
      <w:pPr>
        <w:pStyle w:val="3"/>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3.市场监督管理事务（款）其他市场监督管理事务（项）。年初预算5万元，与上年相比增加5万元，增加100%。变动原因是工会经费增加。</w:t>
      </w:r>
    </w:p>
    <w:p w14:paraId="6ED6E248">
      <w:pPr>
        <w:pStyle w:val="3"/>
        <w:tabs>
          <w:tab w:val="left" w:pos="4275"/>
        </w:tabs>
        <w:spacing w:after="0"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（二）社会保障和就业支出（类）</w:t>
      </w:r>
    </w:p>
    <w:p w14:paraId="7486E1CF">
      <w:pPr>
        <w:pStyle w:val="3"/>
        <w:tabs>
          <w:tab w:val="left" w:pos="4275"/>
        </w:tabs>
        <w:spacing w:after="0" w:line="560" w:lineRule="exact"/>
        <w:ind w:firstLine="640" w:firstLineChars="200"/>
        <w:rPr>
          <w:rFonts w:ascii="仿宋_GB2312" w:hAnsi="仿宋_GB2312" w:eastAsia="仿宋_GB2312" w:cs="仿宋_GB2312"/>
          <w:sz w:val="32"/>
          <w:szCs w:val="32"/>
        </w:rPr>
      </w:pPr>
      <w:r>
        <w:rPr>
          <w:rFonts w:hint="eastAsia" w:eastAsia="仿宋_GB2312"/>
          <w:sz w:val="32"/>
          <w:szCs w:val="32"/>
        </w:rPr>
        <w:t>社会保障和就业</w:t>
      </w:r>
      <w:r>
        <w:rPr>
          <w:rFonts w:hint="eastAsia" w:ascii="仿宋_GB2312" w:hAnsi="仿宋_GB2312" w:eastAsia="仿宋_GB2312" w:cs="仿宋_GB2312"/>
          <w:sz w:val="32"/>
          <w:szCs w:val="32"/>
        </w:rPr>
        <w:t>支出（类）年初预算数为25.95万元，与上年相比增加1.09万元。其中：</w:t>
      </w:r>
    </w:p>
    <w:p w14:paraId="6DEF81D3">
      <w:pPr>
        <w:pStyle w:val="3"/>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1.行政事业单位养老支出（款）机关事业单位基本养老保险缴费支出（项）。年初预算17.3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万元，与上年相比增加0.73万元，增加4.38%。变动原因是人员工资增加，单位养老保险缴纳基数增加。</w:t>
      </w:r>
    </w:p>
    <w:p w14:paraId="20B68416">
      <w:pPr>
        <w:pStyle w:val="3"/>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2.行政事业单位养老支出（款）机关事业单位职业年金缴费支出（项）。年初预算8.65万元，与上年相比增加0.36万元，增加4.38%。变动原因是人员工资增加,单位职业年金基数增加。</w:t>
      </w:r>
    </w:p>
    <w:p w14:paraId="35F15A3D">
      <w:pPr>
        <w:pStyle w:val="3"/>
        <w:tabs>
          <w:tab w:val="left" w:pos="4275"/>
        </w:tabs>
        <w:spacing w:after="0"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（三）卫生健康支出（类）</w:t>
      </w:r>
    </w:p>
    <w:p w14:paraId="7F8CA08D">
      <w:pPr>
        <w:pStyle w:val="3"/>
        <w:tabs>
          <w:tab w:val="left" w:pos="4275"/>
        </w:tabs>
        <w:spacing w:after="0" w:line="560" w:lineRule="exact"/>
        <w:ind w:firstLine="640" w:firstLineChars="200"/>
        <w:rPr>
          <w:rFonts w:ascii="仿宋_GB2312" w:hAnsi="仿宋_GB2312" w:eastAsia="仿宋_GB2312" w:cs="仿宋_GB2312"/>
          <w:sz w:val="32"/>
          <w:szCs w:val="32"/>
        </w:rPr>
      </w:pPr>
      <w:r>
        <w:rPr>
          <w:rFonts w:hint="eastAsia" w:eastAsia="仿宋_GB2312"/>
          <w:sz w:val="32"/>
          <w:szCs w:val="32"/>
        </w:rPr>
        <w:t>卫生健康支出（类</w:t>
      </w:r>
      <w:r>
        <w:rPr>
          <w:rFonts w:hint="eastAsia" w:ascii="仿宋_GB2312" w:hAnsi="仿宋_GB2312" w:eastAsia="仿宋_GB2312" w:cs="仿宋_GB2312"/>
          <w:sz w:val="32"/>
          <w:szCs w:val="32"/>
        </w:rPr>
        <w:t>）年初预算数为9.71万元，与上年相比增加0.32万元。其中：</w:t>
      </w:r>
    </w:p>
    <w:p w14:paraId="74D67769">
      <w:pPr>
        <w:pStyle w:val="3"/>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1.行政事业单位医疗（款）事业单位医疗（项）。年初预算9.71万元，与上年相比增加0.32万元，增加3.38%。变动原因是人员工资增加，医疗保险缴纳基数增加，相应的医保费用增加。</w:t>
      </w:r>
    </w:p>
    <w:p w14:paraId="608E4DFD">
      <w:pPr>
        <w:pStyle w:val="3"/>
        <w:tabs>
          <w:tab w:val="left" w:pos="4275"/>
        </w:tabs>
        <w:spacing w:after="0"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（四）住房保障支出（类）</w:t>
      </w:r>
    </w:p>
    <w:p w14:paraId="46CBBBE0">
      <w:pPr>
        <w:pStyle w:val="3"/>
        <w:tabs>
          <w:tab w:val="left" w:pos="4275"/>
        </w:tabs>
        <w:spacing w:after="0" w:line="560" w:lineRule="exact"/>
        <w:ind w:firstLine="640" w:firstLineChars="200"/>
        <w:rPr>
          <w:rFonts w:ascii="仿宋_GB2312" w:hAnsi="仿宋_GB2312" w:eastAsia="仿宋_GB2312" w:cs="仿宋_GB2312"/>
          <w:sz w:val="32"/>
          <w:szCs w:val="32"/>
        </w:rPr>
      </w:pPr>
      <w:r>
        <w:rPr>
          <w:rFonts w:hint="eastAsia" w:eastAsia="仿宋_GB2312"/>
          <w:sz w:val="32"/>
          <w:szCs w:val="32"/>
        </w:rPr>
        <w:t>住房保障</w:t>
      </w:r>
      <w:r>
        <w:rPr>
          <w:rFonts w:hint="eastAsia" w:ascii="仿宋_GB2312" w:hAnsi="仿宋_GB2312" w:eastAsia="仿宋_GB2312" w:cs="仿宋_GB2312"/>
          <w:sz w:val="32"/>
          <w:szCs w:val="32"/>
        </w:rPr>
        <w:t>支出（类）年初预算数为15.54万元，与上年相比增加0.51万元。其中：</w:t>
      </w:r>
    </w:p>
    <w:p w14:paraId="033B6B5C">
      <w:pPr>
        <w:pStyle w:val="3"/>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1.住房改革支出（款）住房公积金（项）。年初预算15.54万元，与上年相比增加0.51万元，增加3.38%。变动原因是人员工资增加，住房公积金缴纳基数增加，住房公积金支出增加。</w:t>
      </w:r>
    </w:p>
    <w:p w14:paraId="79CED58F">
      <w:pPr>
        <w:spacing w:line="560" w:lineRule="exact"/>
        <w:ind w:firstLine="640" w:firstLineChars="200"/>
        <w:outlineLvl w:val="0"/>
        <w:rPr>
          <w:rFonts w:eastAsia="黑体" w:cs="黑体"/>
          <w:sz w:val="32"/>
          <w:szCs w:val="36"/>
        </w:rPr>
      </w:pPr>
      <w:r>
        <w:rPr>
          <w:rFonts w:hint="eastAsia" w:eastAsia="黑体" w:cs="黑体"/>
          <w:sz w:val="32"/>
          <w:szCs w:val="36"/>
        </w:rPr>
        <w:t>六、一般公共预算基本支出预算情况说明</w:t>
      </w:r>
    </w:p>
    <w:p w14:paraId="53BA267C">
      <w:pPr>
        <w:pStyle w:val="3"/>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乌海市药物警戒中心单位2025年度一般公共预算财政拨款基本支出预算192.78万元，其中：</w:t>
      </w:r>
    </w:p>
    <w:p w14:paraId="27634175">
      <w:pPr>
        <w:pStyle w:val="3"/>
        <w:tabs>
          <w:tab w:val="left" w:pos="2671"/>
          <w:tab w:val="left" w:pos="5000"/>
          <w:tab w:val="left" w:pos="6190"/>
        </w:tabs>
        <w:spacing w:after="0"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（一）人员经费181.66万元。</w:t>
      </w:r>
      <w:r>
        <w:rPr>
          <w:rFonts w:hint="eastAsia" w:ascii="仿宋_GB2312" w:hAnsi="仿宋_GB2312" w:eastAsia="仿宋_GB2312" w:cs="仿宋_GB2312"/>
          <w:sz w:val="32"/>
          <w:szCs w:val="32"/>
        </w:rPr>
        <w:t>主要包括：基本工资47.95万元、津贴补贴27.08万元、奖金11.12万元、绩效工资43.37万元、机关事业单位基本养老保险缴费17.3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万元、职业年金缴费8.65万元、职工基本医疗保险缴费9.71万元、其他社会保障缴费0.95万元、住房公积金15.54万元。</w:t>
      </w:r>
    </w:p>
    <w:p w14:paraId="29D72D70">
      <w:pPr>
        <w:pStyle w:val="3"/>
        <w:tabs>
          <w:tab w:val="left" w:pos="2671"/>
          <w:tab w:val="left" w:pos="5000"/>
          <w:tab w:val="left" w:pos="6190"/>
        </w:tabs>
        <w:spacing w:after="0"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（二）公用经费11.12万元。</w:t>
      </w:r>
      <w:r>
        <w:rPr>
          <w:rFonts w:hint="eastAsia" w:ascii="仿宋_GB2312" w:hAnsi="仿宋_GB2312" w:eastAsia="仿宋_GB2312" w:cs="仿宋_GB2312"/>
          <w:sz w:val="32"/>
          <w:szCs w:val="32"/>
        </w:rPr>
        <w:t>办公费2.13万元、手续费0.1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万元、培训费2.92万元、公务接待费0.18万元、工会经费2.33万元、福利费3.46万元。</w:t>
      </w:r>
    </w:p>
    <w:p w14:paraId="200BAA88">
      <w:pPr>
        <w:spacing w:line="560" w:lineRule="exact"/>
        <w:ind w:firstLine="640" w:firstLineChars="200"/>
        <w:outlineLvl w:val="0"/>
        <w:rPr>
          <w:rFonts w:eastAsia="黑体" w:cs="黑体"/>
          <w:sz w:val="32"/>
          <w:szCs w:val="36"/>
        </w:rPr>
      </w:pPr>
      <w:r>
        <w:rPr>
          <w:rFonts w:hint="eastAsia" w:eastAsia="黑体" w:cs="黑体"/>
          <w:sz w:val="32"/>
          <w:szCs w:val="36"/>
        </w:rPr>
        <w:t>七、财政拨款“三公”经费预算情况说明</w:t>
      </w:r>
    </w:p>
    <w:p w14:paraId="7FDD33D5">
      <w:pPr>
        <w:pStyle w:val="3"/>
        <w:tabs>
          <w:tab w:val="left" w:pos="2671"/>
          <w:tab w:val="left" w:pos="5000"/>
          <w:tab w:val="left" w:pos="6190"/>
        </w:tabs>
        <w:spacing w:after="0" w:line="600" w:lineRule="exact"/>
        <w:ind w:firstLine="640" w:firstLineChars="200"/>
        <w:rPr>
          <w:rFonts w:eastAsia="仿宋_GB2312"/>
          <w:sz w:val="32"/>
          <w:szCs w:val="32"/>
        </w:rPr>
      </w:pPr>
      <w:r>
        <w:rPr>
          <w:rFonts w:hint="eastAsia" w:ascii="仿宋_GB2312" w:hAnsi="仿宋_GB2312" w:eastAsia="仿宋_GB2312" w:cs="仿宋_GB2312"/>
          <w:sz w:val="32"/>
          <w:szCs w:val="32"/>
        </w:rPr>
        <w:t>乌海市药物警戒中心单位2025年度一般公共预算拨款安排的三公经费预算支出0.18</w:t>
      </w:r>
      <w:r>
        <w:rPr>
          <w:rFonts w:eastAsia="仿宋_GB2312"/>
          <w:sz w:val="32"/>
          <w:szCs w:val="32"/>
        </w:rPr>
        <w:t>万元，其中因公出国（境）费支出</w:t>
      </w:r>
      <w:r>
        <w:rPr>
          <w:rFonts w:hint="eastAsia" w:ascii="仿宋_GB2312" w:hAnsi="仿宋_GB2312" w:eastAsia="仿宋_GB2312" w:cs="仿宋_GB2312"/>
          <w:sz w:val="32"/>
          <w:szCs w:val="32"/>
        </w:rPr>
        <w:t>0</w:t>
      </w:r>
      <w:r>
        <w:rPr>
          <w:rFonts w:eastAsia="仿宋_GB2312"/>
          <w:sz w:val="32"/>
          <w:szCs w:val="32"/>
        </w:rPr>
        <w:t>万元，占</w:t>
      </w:r>
      <w:r>
        <w:rPr>
          <w:rFonts w:hint="eastAsia" w:ascii="仿宋_GB2312" w:hAnsi="仿宋_GB2312" w:eastAsia="仿宋_GB2312" w:cs="仿宋_GB2312"/>
          <w:sz w:val="32"/>
          <w:szCs w:val="32"/>
        </w:rPr>
        <w:t>0</w:t>
      </w:r>
      <w:r>
        <w:rPr>
          <w:rFonts w:hint="eastAsia" w:ascii="仿宋_GB2312" w:hAnsi="仿宋_GB2312" w:eastAsia="仿宋_GB2312"/>
          <w:sz w:val="32"/>
          <w:szCs w:val="32"/>
        </w:rPr>
        <w:t>%</w:t>
      </w:r>
      <w:r>
        <w:rPr>
          <w:rFonts w:eastAsia="仿宋_GB2312"/>
          <w:sz w:val="32"/>
          <w:szCs w:val="32"/>
        </w:rPr>
        <w:t>；公务用车购置及运行维护费支出</w:t>
      </w:r>
      <w:r>
        <w:rPr>
          <w:rFonts w:hint="eastAsia" w:ascii="仿宋_GB2312" w:hAnsi="仿宋_GB2312" w:eastAsia="仿宋_GB2312" w:cs="仿宋_GB2312"/>
          <w:sz w:val="32"/>
          <w:szCs w:val="32"/>
        </w:rPr>
        <w:t>0</w:t>
      </w:r>
      <w:r>
        <w:rPr>
          <w:rFonts w:eastAsia="仿宋_GB2312"/>
          <w:sz w:val="32"/>
          <w:szCs w:val="32"/>
        </w:rPr>
        <w:t>万元，占</w:t>
      </w:r>
      <w:r>
        <w:rPr>
          <w:rFonts w:hint="eastAsia" w:ascii="仿宋_GB2312" w:hAnsi="仿宋_GB2312" w:eastAsia="仿宋_GB2312" w:cs="仿宋_GB2312"/>
          <w:sz w:val="32"/>
          <w:szCs w:val="32"/>
        </w:rPr>
        <w:t>0</w:t>
      </w:r>
      <w:r>
        <w:rPr>
          <w:rFonts w:hint="eastAsia" w:ascii="仿宋_GB2312" w:hAnsi="仿宋_GB2312" w:eastAsia="仿宋_GB2312"/>
          <w:sz w:val="32"/>
          <w:szCs w:val="32"/>
        </w:rPr>
        <w:t>%</w:t>
      </w:r>
      <w:r>
        <w:rPr>
          <w:rFonts w:eastAsia="仿宋_GB2312"/>
          <w:sz w:val="32"/>
          <w:szCs w:val="32"/>
        </w:rPr>
        <w:t>；公务接待费支出</w:t>
      </w:r>
      <w:r>
        <w:rPr>
          <w:rFonts w:hint="eastAsia" w:ascii="仿宋_GB2312" w:hAnsi="仿宋_GB2312" w:eastAsia="仿宋_GB2312" w:cs="仿宋_GB2312"/>
          <w:sz w:val="32"/>
          <w:szCs w:val="32"/>
        </w:rPr>
        <w:t>0.18</w:t>
      </w:r>
      <w:r>
        <w:rPr>
          <w:rFonts w:eastAsia="仿宋_GB2312"/>
          <w:sz w:val="32"/>
          <w:szCs w:val="32"/>
        </w:rPr>
        <w:t>万元，占</w:t>
      </w:r>
      <w:r>
        <w:rPr>
          <w:rFonts w:hint="eastAsia" w:ascii="仿宋_GB2312" w:hAnsi="仿宋_GB2312" w:eastAsia="仿宋_GB2312" w:cs="仿宋_GB2312"/>
          <w:sz w:val="32"/>
          <w:szCs w:val="32"/>
        </w:rPr>
        <w:t>100</w:t>
      </w:r>
      <w:r>
        <w:rPr>
          <w:rFonts w:hint="eastAsia" w:ascii="仿宋_GB2312" w:hAnsi="仿宋_GB2312" w:eastAsia="仿宋_GB2312"/>
          <w:sz w:val="32"/>
          <w:szCs w:val="32"/>
        </w:rPr>
        <w:t>%</w:t>
      </w:r>
      <w:r>
        <w:rPr>
          <w:rFonts w:eastAsia="仿宋_GB2312"/>
          <w:sz w:val="32"/>
          <w:szCs w:val="32"/>
        </w:rPr>
        <w:t>。具体情况如下：</w:t>
      </w:r>
    </w:p>
    <w:p w14:paraId="641A6D7C">
      <w:pPr>
        <w:spacing w:line="600" w:lineRule="exact"/>
        <w:ind w:left="29" w:right="96" w:firstLine="650"/>
        <w:rPr>
          <w:rFonts w:eastAsia="仿宋_GB2312"/>
          <w:sz w:val="32"/>
          <w:szCs w:val="32"/>
        </w:rPr>
      </w:pPr>
      <w:r>
        <w:rPr>
          <w:rFonts w:eastAsia="仿宋_GB2312"/>
          <w:sz w:val="32"/>
          <w:szCs w:val="32"/>
        </w:rPr>
        <w:t>一般公共预算拨款安排的“三公”经费预算支出</w:t>
      </w:r>
      <w:r>
        <w:rPr>
          <w:rFonts w:hint="eastAsia" w:ascii="仿宋_GB2312" w:hAnsi="仿宋_GB2312" w:eastAsia="仿宋_GB2312" w:cs="仿宋_GB2312"/>
          <w:sz w:val="32"/>
          <w:szCs w:val="32"/>
        </w:rPr>
        <w:t>0.18</w:t>
      </w:r>
      <w:r>
        <w:rPr>
          <w:rFonts w:eastAsia="仿宋_GB2312"/>
          <w:spacing w:val="-4"/>
          <w:sz w:val="32"/>
          <w:szCs w:val="32"/>
        </w:rPr>
        <w:t>万元，比上年预</w:t>
      </w:r>
      <w:r>
        <w:rPr>
          <w:rFonts w:eastAsia="仿宋_GB2312"/>
          <w:spacing w:val="-6"/>
          <w:sz w:val="32"/>
          <w:szCs w:val="32"/>
        </w:rPr>
        <w:t>算</w:t>
      </w:r>
      <w:r>
        <w:rPr>
          <w:rFonts w:hint="eastAsia" w:ascii="仿宋_GB2312" w:hAnsi="仿宋_GB2312" w:eastAsia="仿宋_GB2312" w:cs="仿宋_GB2312"/>
          <w:sz w:val="32"/>
          <w:szCs w:val="32"/>
        </w:rPr>
        <w:t>增加0</w:t>
      </w:r>
      <w:r>
        <w:rPr>
          <w:rFonts w:eastAsia="仿宋_GB2312"/>
          <w:spacing w:val="-6"/>
          <w:sz w:val="32"/>
          <w:szCs w:val="32"/>
        </w:rPr>
        <w:t>万元，</w:t>
      </w:r>
      <w:r>
        <w:rPr>
          <w:rFonts w:hint="eastAsia" w:ascii="仿宋_GB2312" w:hAnsi="仿宋_GB2312" w:eastAsia="仿宋_GB2312" w:cs="仿宋_GB2312"/>
          <w:sz w:val="32"/>
          <w:szCs w:val="32"/>
        </w:rPr>
        <w:t>增加0</w:t>
      </w:r>
      <w:r>
        <w:rPr>
          <w:rFonts w:hint="eastAsia" w:ascii="仿宋_GB2312" w:hAnsi="仿宋_GB2312" w:eastAsia="仿宋_GB2312"/>
          <w:sz w:val="32"/>
          <w:szCs w:val="32"/>
        </w:rPr>
        <w:t>%</w:t>
      </w:r>
      <w:r>
        <w:rPr>
          <w:rFonts w:eastAsia="仿宋_GB2312"/>
          <w:spacing w:val="-6"/>
          <w:sz w:val="32"/>
          <w:szCs w:val="32"/>
        </w:rPr>
        <w:t>；</w:t>
      </w:r>
      <w:r>
        <w:rPr>
          <w:rFonts w:eastAsia="仿宋_GB2312"/>
          <w:spacing w:val="-4"/>
          <w:sz w:val="32"/>
          <w:szCs w:val="32"/>
        </w:rPr>
        <w:t>其中：</w:t>
      </w:r>
    </w:p>
    <w:p w14:paraId="64E718AB">
      <w:pPr>
        <w:pStyle w:val="3"/>
        <w:spacing w:after="0" w:line="600" w:lineRule="exact"/>
        <w:ind w:left="17" w:leftChars="8"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1．因公出国（境）费预算支出0万元，比上年预算增加0万元，主要原因本单位不存在此项内容。</w:t>
      </w:r>
    </w:p>
    <w:p w14:paraId="10AA442C">
      <w:pPr>
        <w:pStyle w:val="3"/>
        <w:spacing w:after="0" w:line="600" w:lineRule="exact"/>
        <w:ind w:left="17" w:leftChars="8"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2．公务用车购置及运行维护费预算支出0</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万元。其中：</w:t>
      </w:r>
    </w:p>
    <w:p w14:paraId="6F05FC9C">
      <w:pPr>
        <w:pStyle w:val="3"/>
        <w:spacing w:after="0" w:line="600" w:lineRule="exact"/>
        <w:ind w:left="17" w:leftChars="8"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（1）公务用车购置预算支出0万元，比上年预算增加0万元，主要原因本单位不存在此项内容。</w:t>
      </w:r>
    </w:p>
    <w:p w14:paraId="53B8E874">
      <w:pPr>
        <w:pStyle w:val="3"/>
        <w:spacing w:after="0" w:line="600" w:lineRule="exact"/>
        <w:ind w:left="17" w:leftChars="8"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（2）公务用车运行维护费预算支出0万元，比上年预算增加0万元，主要原因本单位不存在此项内容。</w:t>
      </w:r>
    </w:p>
    <w:p w14:paraId="77BA86AD">
      <w:pPr>
        <w:pStyle w:val="3"/>
        <w:spacing w:after="0" w:line="600" w:lineRule="exact"/>
        <w:ind w:left="17" w:leftChars="8" w:firstLine="640" w:firstLineChars="200"/>
        <w:rPr>
          <w:rFonts w:hint="eastAsia" w:ascii="Calibri" w:hAnsi="Calibri" w:eastAsia="仿宋_GB2312" w:cs="Times New Roman"/>
          <w:kern w:val="2"/>
          <w:sz w:val="32"/>
          <w:szCs w:val="32"/>
          <w:lang w:val="en-US" w:eastAsia="zh-CN" w:bidi="ar-SA"/>
        </w:rPr>
      </w:pPr>
      <w:r>
        <w:rPr>
          <w:rFonts w:hint="eastAsia" w:ascii="仿宋_GB2312" w:hAnsi="仿宋_GB2312" w:eastAsia="仿宋_GB2312" w:cs="仿宋_GB2312"/>
          <w:sz w:val="32"/>
          <w:szCs w:val="32"/>
          <w:lang w:val="en-US" w:eastAsia="zh-CN"/>
        </w:rPr>
        <w:t>3．公务接待费预算支出0.18万元，比上年预算增加0万元，主要原因本年度与上年度持平，无变动</w:t>
      </w:r>
      <w:r>
        <w:rPr>
          <w:rFonts w:hint="eastAsia" w:ascii="Calibri" w:hAnsi="Calibri" w:eastAsia="仿宋_GB2312" w:cs="Times New Roman"/>
          <w:kern w:val="2"/>
          <w:sz w:val="32"/>
          <w:szCs w:val="32"/>
          <w:lang w:val="en-US" w:eastAsia="zh-CN" w:bidi="ar-SA"/>
        </w:rPr>
        <w:t>。</w:t>
      </w:r>
    </w:p>
    <w:p w14:paraId="6BE26029">
      <w:pPr>
        <w:spacing w:line="560" w:lineRule="exact"/>
        <w:ind w:firstLine="640" w:firstLineChars="200"/>
        <w:outlineLvl w:val="0"/>
        <w:rPr>
          <w:rFonts w:eastAsia="黑体" w:cs="黑体"/>
          <w:sz w:val="32"/>
          <w:szCs w:val="36"/>
        </w:rPr>
      </w:pPr>
      <w:r>
        <w:rPr>
          <w:rFonts w:hint="eastAsia" w:eastAsia="黑体" w:cs="黑体"/>
          <w:sz w:val="32"/>
          <w:szCs w:val="36"/>
        </w:rPr>
        <w:t>八、政府性基金预算财政拨款支出情况说明</w:t>
      </w:r>
    </w:p>
    <w:p w14:paraId="366663D7">
      <w:pPr>
        <w:pStyle w:val="3"/>
        <w:spacing w:after="0" w:line="600" w:lineRule="exact"/>
        <w:ind w:left="17" w:leftChars="8" w:firstLine="640" w:firstLineChars="200"/>
        <w:rPr>
          <w:rFonts w:eastAsia="仿宋_GB2312"/>
          <w:sz w:val="32"/>
          <w:szCs w:val="32"/>
        </w:rPr>
      </w:pPr>
      <w:r>
        <w:rPr>
          <w:rFonts w:hint="eastAsia" w:ascii="仿宋_GB2312" w:hAnsi="仿宋_GB2312" w:eastAsia="仿宋_GB2312" w:cs="仿宋_GB2312"/>
          <w:sz w:val="32"/>
          <w:szCs w:val="32"/>
        </w:rPr>
        <w:t>乌海市药物警戒中心单位2025年度政府性基金支出预算支出0万元。与上年相比增加0万元，增加0%。主要原因本单位无政府性基金预算支出。</w:t>
      </w:r>
    </w:p>
    <w:p w14:paraId="1F6B6F03">
      <w:pPr>
        <w:spacing w:line="560" w:lineRule="exact"/>
        <w:ind w:firstLine="640" w:firstLineChars="200"/>
        <w:outlineLvl w:val="0"/>
        <w:rPr>
          <w:rFonts w:eastAsia="黑体" w:cs="黑体"/>
          <w:sz w:val="32"/>
          <w:szCs w:val="36"/>
        </w:rPr>
      </w:pPr>
      <w:r>
        <w:rPr>
          <w:rFonts w:hint="eastAsia" w:eastAsia="黑体" w:cs="黑体"/>
          <w:sz w:val="32"/>
          <w:szCs w:val="36"/>
        </w:rPr>
        <w:t>九、国有资本经营预算拨款支出预算情况说明</w:t>
      </w:r>
    </w:p>
    <w:p w14:paraId="778E7DE9">
      <w:pPr>
        <w:widowControl/>
        <w:spacing w:line="56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sz w:val="32"/>
          <w:szCs w:val="32"/>
        </w:rPr>
        <w:t>乌海市药物警戒中心单位2025年</w:t>
      </w:r>
      <w:r>
        <w:rPr>
          <w:rFonts w:hint="eastAsia" w:ascii="仿宋_GB2312" w:hAnsi="仿宋_GB2312" w:eastAsia="仿宋_GB2312" w:cs="仿宋_GB2312"/>
          <w:kern w:val="0"/>
          <w:sz w:val="32"/>
          <w:szCs w:val="32"/>
          <w:lang w:bidi="ar"/>
        </w:rPr>
        <w:t>国有资本经营预算拨款</w:t>
      </w:r>
      <w:r>
        <w:rPr>
          <w:rFonts w:hint="eastAsia" w:ascii="仿宋_GB2312" w:hAnsi="仿宋_GB2312" w:eastAsia="仿宋_GB2312" w:cs="仿宋_GB2312"/>
          <w:sz w:val="32"/>
          <w:szCs w:val="32"/>
        </w:rPr>
        <w:t>0</w:t>
      </w:r>
      <w:r>
        <w:rPr>
          <w:rFonts w:hint="eastAsia" w:ascii="仿宋_GB2312" w:hAnsi="仿宋_GB2312" w:eastAsia="仿宋_GB2312" w:cs="仿宋_GB2312"/>
          <w:kern w:val="0"/>
          <w:sz w:val="32"/>
          <w:szCs w:val="32"/>
          <w:lang w:bidi="ar"/>
        </w:rPr>
        <w:t>元，与上年比较,</w:t>
      </w:r>
      <w:r>
        <w:rPr>
          <w:rFonts w:hint="eastAsia" w:ascii="仿宋_GB2312" w:hAnsi="仿宋_GB2312" w:eastAsia="仿宋_GB2312" w:cs="仿宋_GB2312"/>
          <w:sz w:val="32"/>
          <w:szCs w:val="32"/>
        </w:rPr>
        <w:t>增加0</w:t>
      </w:r>
      <w:r>
        <w:rPr>
          <w:rFonts w:hint="eastAsia" w:ascii="仿宋_GB2312" w:hAnsi="仿宋_GB2312" w:eastAsia="仿宋_GB2312" w:cs="仿宋_GB2312"/>
          <w:kern w:val="0"/>
          <w:sz w:val="32"/>
          <w:szCs w:val="32"/>
          <w:lang w:bidi="ar"/>
        </w:rPr>
        <w:t>万元增长了</w:t>
      </w:r>
      <w:r>
        <w:rPr>
          <w:rFonts w:hint="eastAsia" w:ascii="仿宋_GB2312" w:hAnsi="仿宋_GB2312" w:eastAsia="仿宋_GB2312" w:cs="仿宋_GB2312"/>
          <w:sz w:val="32"/>
          <w:szCs w:val="32"/>
        </w:rPr>
        <w:t>0</w:t>
      </w:r>
      <w:r>
        <w:rPr>
          <w:rFonts w:hint="eastAsia" w:ascii="仿宋_GB2312" w:hAnsi="仿宋_GB2312" w:eastAsia="仿宋_GB2312" w:cs="仿宋_GB2312"/>
          <w:kern w:val="0"/>
          <w:sz w:val="32"/>
          <w:szCs w:val="32"/>
          <w:lang w:bidi="ar"/>
        </w:rPr>
        <w:t>%。</w:t>
      </w:r>
      <w:r>
        <w:rPr>
          <w:rFonts w:eastAsia="仿宋_GB2312"/>
          <w:sz w:val="32"/>
          <w:szCs w:val="32"/>
        </w:rPr>
        <w:t>主要原因</w:t>
      </w:r>
      <w:r>
        <w:rPr>
          <w:rFonts w:hint="eastAsia" w:ascii="仿宋_GB2312" w:hAnsi="仿宋_GB2312" w:eastAsia="仿宋_GB2312" w:cs="仿宋_GB2312"/>
          <w:sz w:val="32"/>
          <w:szCs w:val="32"/>
        </w:rPr>
        <w:t>本单位</w:t>
      </w:r>
      <w:r>
        <w:rPr>
          <w:rFonts w:hint="eastAsia" w:ascii="仿宋_GB2312" w:hAnsi="仿宋_GB2312" w:eastAsia="仿宋_GB2312" w:cs="仿宋_GB2312"/>
          <w:sz w:val="32"/>
          <w:szCs w:val="32"/>
          <w:lang w:val="en-US" w:eastAsia="zh-CN"/>
        </w:rPr>
        <w:t>不存在此项内容</w:t>
      </w:r>
      <w:r>
        <w:rPr>
          <w:rFonts w:hint="eastAsia" w:ascii="仿宋_GB2312" w:hAnsi="仿宋_GB2312" w:eastAsia="仿宋_GB2312" w:cs="仿宋_GB2312"/>
          <w:kern w:val="0"/>
          <w:sz w:val="32"/>
          <w:szCs w:val="32"/>
          <w:lang w:bidi="ar"/>
        </w:rPr>
        <w:t>。</w:t>
      </w:r>
    </w:p>
    <w:p w14:paraId="308139D9">
      <w:pPr>
        <w:spacing w:line="560" w:lineRule="exact"/>
        <w:ind w:firstLine="640" w:firstLineChars="200"/>
        <w:outlineLvl w:val="0"/>
        <w:rPr>
          <w:rFonts w:eastAsia="黑体" w:cs="黑体"/>
          <w:sz w:val="32"/>
          <w:szCs w:val="36"/>
        </w:rPr>
      </w:pPr>
      <w:r>
        <w:rPr>
          <w:rFonts w:hint="eastAsia" w:eastAsia="黑体" w:cs="黑体"/>
          <w:sz w:val="32"/>
          <w:szCs w:val="36"/>
        </w:rPr>
        <w:t>十、项目支出预算情况说明</w:t>
      </w:r>
    </w:p>
    <w:p w14:paraId="064224D2">
      <w:pPr>
        <w:spacing w:line="600" w:lineRule="exact"/>
        <w:ind w:firstLine="640" w:firstLineChars="200"/>
        <w:rPr>
          <w:rFonts w:eastAsia="仿宋_GB2312"/>
          <w:sz w:val="32"/>
          <w:szCs w:val="32"/>
        </w:rPr>
      </w:pPr>
      <w:r>
        <w:rPr>
          <w:rFonts w:hint="eastAsia" w:ascii="仿宋_GB2312" w:hAnsi="仿宋_GB2312" w:eastAsia="仿宋_GB2312" w:cs="仿宋_GB2312"/>
          <w:sz w:val="32"/>
          <w:szCs w:val="32"/>
        </w:rPr>
        <w:t>乌海市药物警戒中心单位2025年</w:t>
      </w:r>
      <w:r>
        <w:rPr>
          <w:rFonts w:eastAsia="仿宋_GB2312"/>
          <w:sz w:val="32"/>
          <w:szCs w:val="32"/>
        </w:rPr>
        <w:t>度预算安排项目</w:t>
      </w:r>
      <w:r>
        <w:rPr>
          <w:rFonts w:hint="eastAsia" w:ascii="仿宋_GB2312" w:hAnsi="仿宋_GB2312" w:eastAsia="仿宋_GB2312" w:cs="仿宋_GB2312"/>
          <w:sz w:val="32"/>
          <w:szCs w:val="32"/>
        </w:rPr>
        <w:t>1</w:t>
      </w:r>
      <w:r>
        <w:rPr>
          <w:rFonts w:eastAsia="仿宋_GB2312"/>
          <w:sz w:val="32"/>
          <w:szCs w:val="32"/>
        </w:rPr>
        <w:t>个，项目预算总金额</w:t>
      </w:r>
      <w:r>
        <w:rPr>
          <w:rFonts w:hint="eastAsia" w:ascii="仿宋_GB2312" w:hAnsi="仿宋_GB2312" w:eastAsia="仿宋_GB2312" w:cs="仿宋_GB2312"/>
          <w:sz w:val="32"/>
          <w:szCs w:val="32"/>
        </w:rPr>
        <w:t>5</w:t>
      </w:r>
      <w:r>
        <w:rPr>
          <w:rFonts w:eastAsia="仿宋_GB2312"/>
          <w:sz w:val="32"/>
          <w:szCs w:val="32"/>
        </w:rPr>
        <w:t>万元。其中，财政本年拨款金额</w:t>
      </w:r>
      <w:r>
        <w:rPr>
          <w:rFonts w:hint="eastAsia" w:ascii="仿宋_GB2312" w:hAnsi="仿宋_GB2312" w:eastAsia="仿宋_GB2312" w:cs="仿宋_GB2312"/>
          <w:sz w:val="32"/>
          <w:szCs w:val="32"/>
        </w:rPr>
        <w:t>5</w:t>
      </w:r>
      <w:r>
        <w:rPr>
          <w:rFonts w:eastAsia="仿宋_GB2312"/>
          <w:sz w:val="32"/>
          <w:szCs w:val="32"/>
        </w:rPr>
        <w:t>万元，财政拨款结转结余</w:t>
      </w:r>
      <w:r>
        <w:rPr>
          <w:rFonts w:hint="eastAsia" w:ascii="仿宋_GB2312" w:hAnsi="仿宋_GB2312" w:eastAsia="仿宋_GB2312" w:cs="仿宋_GB2312"/>
          <w:sz w:val="32"/>
          <w:szCs w:val="32"/>
        </w:rPr>
        <w:t>0</w:t>
      </w:r>
      <w:r>
        <w:rPr>
          <w:rFonts w:eastAsia="仿宋_GB2312"/>
          <w:sz w:val="32"/>
          <w:szCs w:val="32"/>
        </w:rPr>
        <w:t>万元，财政专户管理资金</w:t>
      </w:r>
      <w:r>
        <w:rPr>
          <w:rFonts w:hint="eastAsia" w:ascii="仿宋_GB2312" w:hAnsi="仿宋_GB2312" w:eastAsia="仿宋_GB2312" w:cs="仿宋_GB2312"/>
          <w:sz w:val="32"/>
          <w:szCs w:val="32"/>
        </w:rPr>
        <w:t>0</w:t>
      </w:r>
      <w:r>
        <w:rPr>
          <w:rFonts w:eastAsia="仿宋_GB2312"/>
          <w:sz w:val="32"/>
          <w:szCs w:val="32"/>
        </w:rPr>
        <w:t>万元，单位资金</w:t>
      </w:r>
      <w:r>
        <w:rPr>
          <w:rFonts w:hint="eastAsia" w:ascii="仿宋_GB2312" w:hAnsi="仿宋_GB2312" w:eastAsia="仿宋_GB2312" w:cs="仿宋_GB2312"/>
          <w:sz w:val="32"/>
          <w:szCs w:val="32"/>
        </w:rPr>
        <w:t>0</w:t>
      </w:r>
      <w:r>
        <w:rPr>
          <w:rFonts w:eastAsia="仿宋_GB2312"/>
          <w:sz w:val="32"/>
          <w:szCs w:val="32"/>
        </w:rPr>
        <w:t>万元。</w:t>
      </w:r>
    </w:p>
    <w:p w14:paraId="4E1246DF">
      <w:pPr>
        <w:pStyle w:val="9"/>
        <w:rPr>
          <w:rFonts w:hint="eastAsia"/>
        </w:rPr>
      </w:pPr>
    </w:p>
    <w:p w14:paraId="328B405E">
      <w:pPr>
        <w:widowControl/>
        <w:spacing w:line="560" w:lineRule="exact"/>
        <w:ind w:firstLine="723" w:firstLineChars="200"/>
        <w:jc w:val="center"/>
        <w:rPr>
          <w:rFonts w:ascii="仿宋_GB2312" w:eastAsia="仿宋_GB2312"/>
          <w:sz w:val="36"/>
          <w:szCs w:val="32"/>
        </w:rPr>
      </w:pPr>
      <w:r>
        <w:rPr>
          <w:rFonts w:hint="eastAsia" w:ascii="仿宋_GB2312" w:hAnsi="仿宋" w:eastAsia="仿宋_GB2312" w:cs="仿宋"/>
          <w:b/>
          <w:bCs/>
          <w:kern w:val="0"/>
          <w:sz w:val="36"/>
          <w:szCs w:val="32"/>
          <w:lang w:bidi="ar"/>
        </w:rPr>
        <w:t>第三部分 其他公开事项说明</w:t>
      </w:r>
    </w:p>
    <w:p w14:paraId="233112D8">
      <w:pPr>
        <w:widowControl/>
        <w:spacing w:line="560" w:lineRule="exact"/>
        <w:ind w:firstLine="643" w:firstLineChars="200"/>
        <w:jc w:val="left"/>
        <w:rPr>
          <w:rFonts w:ascii="仿宋_GB2312" w:hAnsi="仿宋" w:eastAsia="仿宋_GB2312" w:cs="仿宋"/>
          <w:b/>
          <w:bCs/>
          <w:kern w:val="0"/>
          <w:sz w:val="32"/>
          <w:szCs w:val="32"/>
          <w:lang w:bidi="ar"/>
        </w:rPr>
      </w:pPr>
    </w:p>
    <w:p w14:paraId="1A3C01E6">
      <w:pPr>
        <w:widowControl/>
        <w:spacing w:line="560" w:lineRule="exact"/>
        <w:ind w:firstLine="640" w:firstLineChars="200"/>
        <w:jc w:val="left"/>
        <w:rPr>
          <w:rFonts w:ascii="黑体" w:hAnsi="黑体" w:eastAsia="黑体"/>
          <w:sz w:val="32"/>
          <w:szCs w:val="32"/>
        </w:rPr>
      </w:pPr>
      <w:r>
        <w:rPr>
          <w:rFonts w:hint="eastAsia" w:ascii="黑体" w:hAnsi="黑体" w:eastAsia="黑体" w:cs="仿宋"/>
          <w:bCs/>
          <w:kern w:val="0"/>
          <w:sz w:val="32"/>
          <w:szCs w:val="32"/>
          <w:lang w:val="en-US" w:eastAsia="zh-CN" w:bidi="ar"/>
        </w:rPr>
        <w:t>一、</w:t>
      </w:r>
      <w:r>
        <w:rPr>
          <w:rFonts w:hint="eastAsia" w:ascii="黑体" w:hAnsi="黑体" w:eastAsia="黑体" w:cs="仿宋"/>
          <w:bCs/>
          <w:kern w:val="0"/>
          <w:sz w:val="32"/>
          <w:szCs w:val="32"/>
          <w:lang w:bidi="ar"/>
        </w:rPr>
        <w:t>机关运行经费安排情况说明</w:t>
      </w:r>
    </w:p>
    <w:p w14:paraId="75A51C0C">
      <w:pPr>
        <w:widowControl/>
        <w:spacing w:line="560" w:lineRule="exact"/>
        <w:ind w:firstLine="640" w:firstLineChars="200"/>
        <w:jc w:val="left"/>
        <w:rPr>
          <w:rFonts w:hint="eastAsia" w:ascii="仿宋_GB2312" w:hAnsi="仿宋" w:eastAsia="仿宋_GB2312" w:cs="仿宋"/>
          <w:kern w:val="0"/>
          <w:sz w:val="32"/>
          <w:szCs w:val="32"/>
          <w:lang w:eastAsia="zh-CN" w:bidi="ar"/>
        </w:rPr>
      </w:pPr>
      <w:r>
        <w:rPr>
          <w:rFonts w:hint="eastAsia" w:ascii="仿宋_GB2312" w:hAnsi="仿宋" w:eastAsia="仿宋_GB2312" w:cs="仿宋"/>
          <w:kern w:val="0"/>
          <w:sz w:val="32"/>
          <w:szCs w:val="32"/>
          <w:lang w:bidi="ar"/>
        </w:rPr>
        <w:t>机关运行经费，是指各部门的公用经费，包括办公及印刷费、邮电费、差旅费、会议费、福利费、日常维修费、专业材料及一般设备购置费、办公用房水电费、办公用房取暖费、办公用房物业管理费、公务用车运行维护费以及其他费用等</w:t>
      </w:r>
      <w:r>
        <w:rPr>
          <w:rFonts w:hint="eastAsia" w:ascii="仿宋_GB2312" w:hAnsi="仿宋" w:eastAsia="仿宋_GB2312" w:cs="仿宋"/>
          <w:kern w:val="0"/>
          <w:sz w:val="32"/>
          <w:szCs w:val="32"/>
          <w:lang w:eastAsia="zh-CN" w:bidi="ar"/>
        </w:rPr>
        <w:t>。</w:t>
      </w:r>
    </w:p>
    <w:p w14:paraId="6E2A5F03">
      <w:pPr>
        <w:widowControl/>
        <w:spacing w:line="560" w:lineRule="exact"/>
        <w:ind w:firstLine="640" w:firstLineChars="200"/>
        <w:jc w:val="left"/>
        <w:rPr>
          <w:rFonts w:hint="default"/>
          <w:lang w:val="en-US" w:eastAsia="zh-CN"/>
        </w:rPr>
      </w:pPr>
      <w:r>
        <w:rPr>
          <w:rFonts w:hint="eastAsia" w:ascii="仿宋_GB2312" w:hAnsi="仿宋" w:eastAsia="仿宋_GB2312" w:cs="仿宋"/>
          <w:kern w:val="0"/>
          <w:sz w:val="32"/>
          <w:szCs w:val="32"/>
          <w:lang w:val="en-US" w:eastAsia="zh-CN" w:bidi="ar"/>
        </w:rPr>
        <w:t>我单位为事业单位，无行政运行经费。</w:t>
      </w:r>
    </w:p>
    <w:p w14:paraId="04CDB5C3">
      <w:pPr>
        <w:widowControl/>
        <w:spacing w:line="560" w:lineRule="exact"/>
        <w:ind w:firstLine="640" w:firstLineChars="200"/>
        <w:jc w:val="left"/>
        <w:rPr>
          <w:rFonts w:ascii="黑体" w:hAnsi="黑体" w:eastAsia="黑体"/>
          <w:sz w:val="32"/>
          <w:szCs w:val="32"/>
        </w:rPr>
      </w:pPr>
      <w:r>
        <w:rPr>
          <w:rFonts w:hint="eastAsia" w:ascii="黑体" w:hAnsi="黑体" w:eastAsia="黑体" w:cs="仿宋"/>
          <w:bCs/>
          <w:kern w:val="0"/>
          <w:sz w:val="32"/>
          <w:szCs w:val="32"/>
          <w:lang w:bidi="ar"/>
        </w:rPr>
        <w:t>二</w:t>
      </w:r>
      <w:r>
        <w:rPr>
          <w:rFonts w:hint="eastAsia" w:ascii="黑体" w:hAnsi="黑体" w:eastAsia="黑体" w:cs="仿宋"/>
          <w:bCs/>
          <w:kern w:val="0"/>
          <w:sz w:val="32"/>
          <w:szCs w:val="32"/>
          <w:lang w:eastAsia="zh-CN" w:bidi="ar"/>
        </w:rPr>
        <w:t>、</w:t>
      </w:r>
      <w:r>
        <w:rPr>
          <w:rFonts w:hint="eastAsia" w:ascii="黑体" w:hAnsi="黑体" w:eastAsia="黑体" w:cs="仿宋"/>
          <w:bCs/>
          <w:kern w:val="0"/>
          <w:sz w:val="32"/>
          <w:szCs w:val="32"/>
          <w:lang w:bidi="ar"/>
        </w:rPr>
        <w:t>事业运行经费安排情况说明</w:t>
      </w:r>
    </w:p>
    <w:p w14:paraId="62C2BD46">
      <w:pPr>
        <w:widowControl/>
        <w:spacing w:line="560" w:lineRule="exact"/>
        <w:ind w:firstLine="640" w:firstLineChars="200"/>
        <w:jc w:val="left"/>
        <w:rPr>
          <w:rFonts w:eastAsia="仿宋_GB2312"/>
          <w:highlight w:val="yellow"/>
        </w:rPr>
      </w:pPr>
      <w:r>
        <w:rPr>
          <w:rFonts w:hint="eastAsia" w:ascii="仿宋_GB2312" w:hAnsi="仿宋" w:eastAsia="仿宋_GB2312" w:cs="仿宋"/>
          <w:kern w:val="0"/>
          <w:sz w:val="32"/>
          <w:szCs w:val="32"/>
          <w:lang w:bidi="ar"/>
        </w:rPr>
        <w:t>事业运行经费，是指各事业单位的公用经费，包括办公及印刷费、邮电费、差旅费、会议费、福利费、日常维修费、专业材料及一般设备购置费、办公用房水电费、办公用房取暖费、办公用房物业管理费、公务用车运行维护费以及其他费用。</w:t>
      </w:r>
    </w:p>
    <w:p w14:paraId="63E4128D">
      <w:pPr>
        <w:widowControl/>
        <w:spacing w:line="560" w:lineRule="exact"/>
        <w:ind w:firstLine="640" w:firstLineChars="200"/>
        <w:jc w:val="left"/>
        <w:rPr>
          <w:rFonts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2025年我单位事业运行经费财政拨款预算</w:t>
      </w:r>
      <w:r>
        <w:rPr>
          <w:rFonts w:hint="eastAsia" w:ascii="仿宋_GB2312" w:hAnsi="楷体_GB2312" w:eastAsia="仿宋_GB2312" w:cs="楷体_GB2312"/>
          <w:sz w:val="32"/>
          <w:szCs w:val="32"/>
        </w:rPr>
        <w:t>11.12</w:t>
      </w:r>
      <w:r>
        <w:rPr>
          <w:rFonts w:hint="eastAsia" w:ascii="仿宋_GB2312" w:hAnsi="仿宋" w:eastAsia="仿宋_GB2312" w:cs="仿宋"/>
          <w:kern w:val="0"/>
          <w:sz w:val="32"/>
          <w:szCs w:val="32"/>
          <w:lang w:bidi="ar"/>
        </w:rPr>
        <w:t>万元，其中：</w:t>
      </w:r>
    </w:p>
    <w:p w14:paraId="4D8DF300">
      <w:pPr>
        <w:widowControl/>
        <w:spacing w:line="560" w:lineRule="exact"/>
        <w:ind w:firstLine="640" w:firstLineChars="200"/>
        <w:jc w:val="left"/>
        <w:rPr>
          <w:rFonts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302商品和服务支出类：办公费2.13万元、手续费0.1</w:t>
      </w:r>
      <w:r>
        <w:rPr>
          <w:rFonts w:hint="eastAsia" w:ascii="仿宋_GB2312" w:hAnsi="仿宋" w:eastAsia="仿宋_GB2312" w:cs="仿宋"/>
          <w:kern w:val="0"/>
          <w:sz w:val="32"/>
          <w:szCs w:val="32"/>
          <w:lang w:val="en-US" w:eastAsia="zh-CN" w:bidi="ar"/>
        </w:rPr>
        <w:t>0</w:t>
      </w:r>
      <w:r>
        <w:rPr>
          <w:rFonts w:hint="eastAsia" w:ascii="仿宋_GB2312" w:hAnsi="仿宋" w:eastAsia="仿宋_GB2312" w:cs="仿宋"/>
          <w:kern w:val="0"/>
          <w:sz w:val="32"/>
          <w:szCs w:val="32"/>
          <w:lang w:bidi="ar"/>
        </w:rPr>
        <w:t>万元、培训费2.92万元、公务接待费0.18万元、工会经费2.33万元、福利费3.46万元。</w:t>
      </w:r>
    </w:p>
    <w:p w14:paraId="3FA8892F">
      <w:pPr>
        <w:widowControl/>
        <w:spacing w:line="560" w:lineRule="exact"/>
        <w:ind w:firstLine="640" w:firstLineChars="200"/>
        <w:jc w:val="left"/>
        <w:rPr>
          <w:rFonts w:ascii="仿宋_GB2312" w:eastAsia="仿宋_GB2312"/>
          <w:sz w:val="32"/>
          <w:szCs w:val="32"/>
          <w:highlight w:val="yellow"/>
        </w:rPr>
      </w:pPr>
      <w:r>
        <w:rPr>
          <w:rFonts w:hint="eastAsia" w:ascii="仿宋_GB2312" w:hAnsi="仿宋" w:eastAsia="仿宋_GB2312" w:cs="仿宋"/>
          <w:kern w:val="0"/>
          <w:sz w:val="32"/>
          <w:szCs w:val="32"/>
          <w:lang w:bidi="ar"/>
        </w:rPr>
        <w:t>2025年事业运行经费比上年</w:t>
      </w:r>
      <w:r>
        <w:rPr>
          <w:rFonts w:hint="eastAsia" w:ascii="仿宋_GB2312" w:hAnsi="仿宋_GB2312" w:eastAsia="仿宋_GB2312" w:cs="仿宋_GB2312"/>
          <w:sz w:val="32"/>
          <w:szCs w:val="32"/>
        </w:rPr>
        <w:t>增加0.85</w:t>
      </w:r>
      <w:r>
        <w:rPr>
          <w:rFonts w:hint="eastAsia" w:ascii="仿宋_GB2312" w:hAnsi="仿宋" w:eastAsia="仿宋_GB2312" w:cs="仿宋"/>
          <w:kern w:val="0"/>
          <w:sz w:val="32"/>
          <w:szCs w:val="32"/>
          <w:lang w:bidi="ar"/>
        </w:rPr>
        <w:t>万元，</w:t>
      </w:r>
      <w:r>
        <w:rPr>
          <w:rFonts w:hint="eastAsia" w:ascii="仿宋_GB2312" w:hAnsi="仿宋_GB2312" w:eastAsia="仿宋_GB2312" w:cs="仿宋_GB2312"/>
          <w:sz w:val="32"/>
          <w:szCs w:val="32"/>
        </w:rPr>
        <w:t>增加8.28</w:t>
      </w:r>
      <w:r>
        <w:rPr>
          <w:rFonts w:hint="eastAsia" w:ascii="仿宋_GB2312" w:hAnsi="仿宋" w:eastAsia="仿宋_GB2312" w:cs="仿宋"/>
          <w:kern w:val="0"/>
          <w:sz w:val="32"/>
          <w:szCs w:val="32"/>
          <w:lang w:bidi="ar"/>
        </w:rPr>
        <w:t>%，</w:t>
      </w:r>
      <w:r>
        <w:rPr>
          <w:rFonts w:hint="eastAsia" w:ascii="仿宋_GB2312" w:hAnsi="仿宋_GB2312" w:eastAsia="仿宋_GB2312" w:cs="仿宋_GB2312"/>
          <w:sz w:val="32"/>
          <w:szCs w:val="32"/>
        </w:rPr>
        <w:t>增加</w:t>
      </w:r>
      <w:r>
        <w:rPr>
          <w:rFonts w:hint="eastAsia" w:ascii="仿宋_GB2312" w:hAnsi="仿宋" w:eastAsia="仿宋_GB2312" w:cs="仿宋"/>
          <w:kern w:val="0"/>
          <w:sz w:val="32"/>
          <w:szCs w:val="32"/>
          <w:lang w:bidi="ar"/>
        </w:rPr>
        <w:t>主要原因</w:t>
      </w:r>
      <w:r>
        <w:rPr>
          <w:rFonts w:hint="eastAsia" w:ascii="仿宋" w:hAnsi="仿宋" w:eastAsia="仿宋" w:cs="仿宋"/>
          <w:sz w:val="32"/>
          <w:szCs w:val="32"/>
        </w:rPr>
        <w:t>是</w:t>
      </w:r>
      <w:r>
        <w:rPr>
          <w:rFonts w:hint="eastAsia" w:ascii="仿宋_GB2312" w:hAnsi="仿宋_GB2312" w:eastAsia="仿宋_GB2312" w:cs="仿宋_GB2312"/>
          <w:sz w:val="32"/>
          <w:szCs w:val="32"/>
        </w:rPr>
        <w:t>人员工资基数上涨，工会经费和福利费相应增加</w:t>
      </w:r>
      <w:r>
        <w:rPr>
          <w:rFonts w:hint="eastAsia" w:ascii="仿宋_GB2312" w:hAnsi="仿宋" w:eastAsia="仿宋_GB2312" w:cs="仿宋"/>
          <w:kern w:val="0"/>
          <w:sz w:val="32"/>
          <w:szCs w:val="32"/>
          <w:lang w:bidi="ar"/>
        </w:rPr>
        <w:t>。</w:t>
      </w:r>
    </w:p>
    <w:p w14:paraId="3FA3A15F">
      <w:pPr>
        <w:widowControl/>
        <w:spacing w:line="560" w:lineRule="exact"/>
        <w:ind w:firstLine="640" w:firstLineChars="200"/>
        <w:jc w:val="left"/>
        <w:rPr>
          <w:rFonts w:ascii="黑体" w:hAnsi="黑体" w:eastAsia="黑体"/>
          <w:sz w:val="32"/>
          <w:szCs w:val="32"/>
        </w:rPr>
      </w:pPr>
      <w:r>
        <w:rPr>
          <w:rFonts w:hint="eastAsia" w:ascii="黑体" w:hAnsi="黑体" w:eastAsia="黑体" w:cs="仿宋"/>
          <w:bCs/>
          <w:kern w:val="0"/>
          <w:sz w:val="32"/>
          <w:szCs w:val="32"/>
          <w:lang w:val="en-US" w:eastAsia="zh-CN" w:bidi="ar"/>
        </w:rPr>
        <w:t>三</w:t>
      </w:r>
      <w:r>
        <w:rPr>
          <w:rFonts w:hint="eastAsia" w:ascii="黑体" w:hAnsi="黑体" w:eastAsia="黑体" w:cs="仿宋"/>
          <w:bCs/>
          <w:kern w:val="0"/>
          <w:sz w:val="32"/>
          <w:szCs w:val="32"/>
          <w:lang w:bidi="ar"/>
        </w:rPr>
        <w:t>、政府采购支出预算情况说明</w:t>
      </w:r>
    </w:p>
    <w:p w14:paraId="0372966D">
      <w:pPr>
        <w:widowControl/>
        <w:spacing w:line="56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2025年政府采购预算</w:t>
      </w:r>
      <w:r>
        <w:rPr>
          <w:rFonts w:hint="eastAsia" w:ascii="仿宋_GB2312" w:hAnsi="仿宋_GB2312" w:eastAsia="仿宋_GB2312" w:cs="仿宋_GB2312"/>
          <w:sz w:val="32"/>
          <w:szCs w:val="32"/>
        </w:rPr>
        <w:t>0</w:t>
      </w:r>
      <w:r>
        <w:rPr>
          <w:rFonts w:hint="eastAsia" w:ascii="仿宋_GB2312" w:hAnsi="仿宋_GB2312" w:eastAsia="仿宋_GB2312" w:cs="仿宋_GB2312"/>
          <w:kern w:val="0"/>
          <w:sz w:val="32"/>
          <w:szCs w:val="32"/>
          <w:lang w:bidi="ar"/>
        </w:rPr>
        <w:t>万元，较上年</w:t>
      </w:r>
      <w:r>
        <w:rPr>
          <w:rFonts w:hint="eastAsia" w:ascii="仿宋_GB2312" w:hAnsi="仿宋_GB2312" w:eastAsia="仿宋_GB2312" w:cs="仿宋_GB2312"/>
          <w:sz w:val="32"/>
          <w:szCs w:val="32"/>
        </w:rPr>
        <w:t>减少0.5</w:t>
      </w:r>
      <w:r>
        <w:rPr>
          <w:rFonts w:hint="eastAsia" w:ascii="仿宋_GB2312" w:hAnsi="仿宋_GB2312" w:eastAsia="仿宋_GB2312" w:cs="仿宋_GB2312"/>
          <w:kern w:val="0"/>
          <w:sz w:val="32"/>
          <w:szCs w:val="32"/>
          <w:lang w:bidi="ar"/>
        </w:rPr>
        <w:t>万元，</w:t>
      </w:r>
      <w:r>
        <w:rPr>
          <w:rFonts w:hint="eastAsia" w:ascii="仿宋_GB2312" w:hAnsi="仿宋_GB2312" w:eastAsia="仿宋_GB2312" w:cs="仿宋_GB2312"/>
          <w:sz w:val="32"/>
          <w:szCs w:val="32"/>
        </w:rPr>
        <w:t>减少100</w:t>
      </w:r>
      <w:r>
        <w:rPr>
          <w:rFonts w:hint="eastAsia" w:ascii="仿宋_GB2312" w:hAnsi="仿宋_GB2312" w:eastAsia="仿宋_GB2312" w:cs="仿宋_GB2312"/>
          <w:kern w:val="0"/>
          <w:sz w:val="32"/>
          <w:szCs w:val="32"/>
          <w:lang w:bidi="ar"/>
        </w:rPr>
        <w:t>%。资金来源为财政拨款（或其他资金），其中：</w:t>
      </w:r>
    </w:p>
    <w:p w14:paraId="5E019010">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1.货物类预算0万元，占比100%，较上年增加0万元，增加0%，原因是单位无此项内容。</w:t>
      </w:r>
    </w:p>
    <w:p w14:paraId="1D218475">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2.工程类预算0万元，占比100%，较上年增加0万元，增加0%，原因是单位无此项内容。</w:t>
      </w:r>
    </w:p>
    <w:p w14:paraId="74BA960C">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3.服务类预算0万元，占比100%，较上年</w:t>
      </w:r>
      <w:r>
        <w:rPr>
          <w:rFonts w:hint="eastAsia" w:ascii="仿宋_GB2312" w:hAnsi="仿宋_GB2312" w:eastAsia="仿宋_GB2312" w:cs="仿宋_GB2312"/>
          <w:kern w:val="0"/>
          <w:sz w:val="32"/>
          <w:szCs w:val="32"/>
          <w:lang w:val="en-US" w:eastAsia="zh-CN" w:bidi="ar"/>
        </w:rPr>
        <w:t>减少</w:t>
      </w:r>
      <w:r>
        <w:rPr>
          <w:rFonts w:hint="eastAsia" w:ascii="仿宋_GB2312" w:hAnsi="仿宋_GB2312" w:eastAsia="仿宋_GB2312" w:cs="仿宋_GB2312"/>
          <w:kern w:val="0"/>
          <w:sz w:val="32"/>
          <w:szCs w:val="32"/>
          <w:lang w:bidi="ar"/>
        </w:rPr>
        <w:t>0</w:t>
      </w:r>
      <w:r>
        <w:rPr>
          <w:rFonts w:hint="eastAsia" w:ascii="仿宋_GB2312" w:hAnsi="仿宋_GB2312" w:eastAsia="仿宋_GB2312" w:cs="仿宋_GB2312"/>
          <w:kern w:val="0"/>
          <w:sz w:val="32"/>
          <w:szCs w:val="32"/>
          <w:lang w:val="en-US" w:eastAsia="zh-CN" w:bidi="ar"/>
        </w:rPr>
        <w:t>.5</w:t>
      </w:r>
      <w:r>
        <w:rPr>
          <w:rFonts w:hint="eastAsia" w:ascii="仿宋_GB2312" w:hAnsi="仿宋_GB2312" w:eastAsia="仿宋_GB2312" w:cs="仿宋_GB2312"/>
          <w:kern w:val="0"/>
          <w:sz w:val="32"/>
          <w:szCs w:val="32"/>
          <w:lang w:bidi="ar"/>
        </w:rPr>
        <w:t>万元，</w:t>
      </w:r>
      <w:r>
        <w:rPr>
          <w:rFonts w:hint="eastAsia" w:ascii="仿宋_GB2312" w:hAnsi="仿宋_GB2312" w:eastAsia="仿宋_GB2312" w:cs="仿宋_GB2312"/>
          <w:kern w:val="0"/>
          <w:sz w:val="32"/>
          <w:szCs w:val="32"/>
          <w:lang w:val="en-US" w:eastAsia="zh-CN" w:bidi="ar"/>
        </w:rPr>
        <w:t>减少</w:t>
      </w:r>
      <w:r>
        <w:rPr>
          <w:rFonts w:hint="eastAsia" w:ascii="仿宋_GB2312" w:hAnsi="仿宋_GB2312" w:eastAsia="仿宋_GB2312" w:cs="仿宋_GB2312"/>
          <w:kern w:val="0"/>
          <w:sz w:val="32"/>
          <w:szCs w:val="32"/>
          <w:lang w:bidi="ar"/>
        </w:rPr>
        <w:t>100%，</w:t>
      </w:r>
      <w:r>
        <w:rPr>
          <w:rFonts w:hint="eastAsia" w:ascii="仿宋_GB2312" w:hAnsi="仿宋_GB2312" w:eastAsia="仿宋_GB2312" w:cs="仿宋_GB2312"/>
          <w:kern w:val="0"/>
          <w:sz w:val="32"/>
          <w:szCs w:val="32"/>
          <w:lang w:val="en-US" w:eastAsia="zh-CN" w:bidi="ar"/>
        </w:rPr>
        <w:t>减少</w:t>
      </w:r>
      <w:r>
        <w:rPr>
          <w:rFonts w:hint="eastAsia" w:ascii="仿宋_GB2312" w:hAnsi="仿宋_GB2312" w:eastAsia="仿宋_GB2312" w:cs="仿宋_GB2312"/>
          <w:kern w:val="0"/>
          <w:sz w:val="32"/>
          <w:szCs w:val="32"/>
          <w:lang w:bidi="ar"/>
        </w:rPr>
        <w:t>原因是单位</w:t>
      </w:r>
      <w:r>
        <w:rPr>
          <w:rFonts w:hint="eastAsia" w:ascii="仿宋_GB2312" w:hAnsi="仿宋_GB2312" w:eastAsia="仿宋_GB2312" w:cs="仿宋_GB2312"/>
          <w:kern w:val="0"/>
          <w:sz w:val="32"/>
          <w:szCs w:val="32"/>
          <w:lang w:val="en-US" w:eastAsia="zh-CN" w:bidi="ar"/>
        </w:rPr>
        <w:t>本年</w:t>
      </w:r>
      <w:r>
        <w:rPr>
          <w:rFonts w:hint="eastAsia" w:ascii="仿宋_GB2312" w:hAnsi="仿宋_GB2312" w:eastAsia="仿宋_GB2312" w:cs="仿宋_GB2312"/>
          <w:kern w:val="0"/>
          <w:sz w:val="32"/>
          <w:szCs w:val="32"/>
          <w:lang w:bidi="ar"/>
        </w:rPr>
        <w:t>无此项内容。</w:t>
      </w:r>
    </w:p>
    <w:p w14:paraId="222A4F61">
      <w:pPr>
        <w:widowControl/>
        <w:spacing w:line="560" w:lineRule="exact"/>
        <w:ind w:firstLine="640" w:firstLineChars="200"/>
        <w:jc w:val="left"/>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编制政府购买服务项目0项，预算为0万元，服务类型为无，涉及预算单位0家，资金来源为财政拨款（或其他资金）</w:t>
      </w:r>
      <w:r>
        <w:rPr>
          <w:rFonts w:hint="eastAsia" w:ascii="仿宋_GB2312" w:hAnsi="仿宋_GB2312" w:eastAsia="仿宋_GB2312" w:cs="仿宋_GB2312"/>
          <w:kern w:val="0"/>
          <w:sz w:val="32"/>
          <w:szCs w:val="32"/>
          <w:lang w:eastAsia="zh-CN" w:bidi="ar"/>
        </w:rPr>
        <w:t>。</w:t>
      </w:r>
    </w:p>
    <w:p w14:paraId="0417BC43">
      <w:pPr>
        <w:widowControl/>
        <w:spacing w:line="560" w:lineRule="exact"/>
        <w:ind w:firstLine="640" w:firstLineChars="200"/>
        <w:jc w:val="left"/>
        <w:rPr>
          <w:rFonts w:ascii="黑体" w:hAnsi="黑体" w:eastAsia="黑体"/>
          <w:sz w:val="32"/>
          <w:szCs w:val="32"/>
        </w:rPr>
      </w:pPr>
      <w:r>
        <w:rPr>
          <w:rFonts w:hint="eastAsia" w:ascii="黑体" w:hAnsi="黑体" w:eastAsia="黑体" w:cs="仿宋"/>
          <w:bCs/>
          <w:kern w:val="0"/>
          <w:sz w:val="32"/>
          <w:szCs w:val="32"/>
          <w:lang w:val="en-US" w:eastAsia="zh-CN" w:bidi="ar"/>
        </w:rPr>
        <w:t>四</w:t>
      </w:r>
      <w:r>
        <w:rPr>
          <w:rFonts w:hint="eastAsia" w:ascii="黑体" w:hAnsi="黑体" w:eastAsia="黑体" w:cs="仿宋"/>
          <w:bCs/>
          <w:kern w:val="0"/>
          <w:sz w:val="32"/>
          <w:szCs w:val="32"/>
          <w:lang w:bidi="ar"/>
        </w:rPr>
        <w:t>、国有资产占有使用情况说明</w:t>
      </w:r>
    </w:p>
    <w:p w14:paraId="1D9E0BD7">
      <w:pPr>
        <w:widowControl/>
        <w:spacing w:line="560" w:lineRule="exact"/>
        <w:ind w:firstLine="643" w:firstLineChars="200"/>
        <w:jc w:val="left"/>
        <w:rPr>
          <w:rFonts w:ascii="仿宋_GB2312" w:eastAsia="仿宋_GB2312"/>
          <w:sz w:val="32"/>
          <w:szCs w:val="32"/>
        </w:rPr>
      </w:pPr>
      <w:r>
        <w:rPr>
          <w:rFonts w:hint="eastAsia" w:ascii="仿宋_GB2312" w:hAnsi="仿宋" w:eastAsia="仿宋_GB2312" w:cs="仿宋"/>
          <w:b/>
          <w:bCs/>
          <w:kern w:val="0"/>
          <w:sz w:val="32"/>
          <w:szCs w:val="32"/>
          <w:lang w:bidi="ar"/>
        </w:rPr>
        <w:t>1.2025年公务用车及大型设备情况。</w:t>
      </w:r>
    </w:p>
    <w:p w14:paraId="5339051B">
      <w:pPr>
        <w:widowControl/>
        <w:spacing w:line="560" w:lineRule="exact"/>
        <w:ind w:firstLine="640" w:firstLineChars="200"/>
        <w:jc w:val="left"/>
        <w:rPr>
          <w:rFonts w:ascii="仿宋_GB2312" w:eastAsia="仿宋_GB2312"/>
          <w:sz w:val="32"/>
          <w:szCs w:val="32"/>
          <w:highlight w:val="yellow"/>
        </w:rPr>
      </w:pPr>
      <w:r>
        <w:rPr>
          <w:rFonts w:hint="eastAsia" w:ascii="仿宋_GB2312" w:hAnsi="仿宋" w:eastAsia="仿宋_GB2312" w:cs="仿宋"/>
          <w:kern w:val="0"/>
          <w:sz w:val="32"/>
          <w:szCs w:val="32"/>
          <w:lang w:bidi="ar"/>
        </w:rPr>
        <w:t>截至2024年末，共有车辆0辆</w:t>
      </w:r>
      <w:r>
        <w:rPr>
          <w:rFonts w:hint="eastAsia" w:ascii="仿宋_GB2312" w:hAnsi="宋体" w:eastAsia="仿宋_GB2312" w:cs="仿宋_GB2312"/>
          <w:kern w:val="0"/>
          <w:sz w:val="32"/>
          <w:szCs w:val="32"/>
          <w:lang w:bidi="ar"/>
        </w:rPr>
        <w:t>。</w:t>
      </w:r>
    </w:p>
    <w:p w14:paraId="4D85BA05">
      <w:pPr>
        <w:widowControl/>
        <w:spacing w:line="560" w:lineRule="exact"/>
        <w:ind w:firstLine="640" w:firstLineChars="200"/>
        <w:jc w:val="left"/>
        <w:rPr>
          <w:rFonts w:ascii="仿宋_GB2312" w:hAnsi="仿宋" w:eastAsia="仿宋_GB2312" w:cs="仿宋"/>
          <w:kern w:val="0"/>
          <w:sz w:val="32"/>
          <w:szCs w:val="32"/>
          <w:lang w:bidi="ar"/>
        </w:rPr>
      </w:pPr>
      <w:r>
        <w:rPr>
          <w:rFonts w:hint="eastAsia" w:eastAsia="仿宋_GB2312"/>
          <w:sz w:val="32"/>
          <w:szCs w:val="32"/>
        </w:rPr>
        <w:t>单价</w:t>
      </w:r>
      <w:r>
        <w:rPr>
          <w:rFonts w:hint="eastAsia" w:ascii="仿宋_GB2312" w:hAnsi="仿宋" w:eastAsia="仿宋_GB2312" w:cs="仿宋"/>
          <w:kern w:val="0"/>
          <w:sz w:val="32"/>
          <w:szCs w:val="32"/>
          <w:lang w:bidi="ar"/>
        </w:rPr>
        <w:t>50万元（含）以上的通用设备0台（套），单价100万元（含）以上的专用设备0台（套）。</w:t>
      </w:r>
    </w:p>
    <w:p w14:paraId="1E3E2A29">
      <w:pPr>
        <w:widowControl/>
        <w:spacing w:line="560" w:lineRule="exact"/>
        <w:ind w:firstLine="643" w:firstLineChars="200"/>
        <w:jc w:val="left"/>
        <w:rPr>
          <w:rFonts w:ascii="仿宋_GB2312" w:eastAsia="仿宋_GB2312"/>
          <w:sz w:val="32"/>
          <w:szCs w:val="32"/>
        </w:rPr>
      </w:pPr>
      <w:r>
        <w:rPr>
          <w:rFonts w:hint="eastAsia" w:ascii="仿宋_GB2312" w:hAnsi="仿宋" w:eastAsia="仿宋_GB2312" w:cs="仿宋"/>
          <w:b/>
          <w:bCs/>
          <w:kern w:val="0"/>
          <w:sz w:val="32"/>
          <w:szCs w:val="32"/>
          <w:lang w:bidi="ar"/>
        </w:rPr>
        <w:t>2.2025年房屋建筑物情况。</w:t>
      </w:r>
    </w:p>
    <w:p w14:paraId="51E4204A">
      <w:pPr>
        <w:widowControl/>
        <w:spacing w:line="560" w:lineRule="exact"/>
        <w:ind w:firstLine="640" w:firstLineChars="200"/>
        <w:jc w:val="left"/>
        <w:rPr>
          <w:rFonts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房屋建筑面积0平方米，其中办公用房0平方米、业务用房0方米、其他（不含构筑物）0平方米，较上年增加0平方米，增加原因单位无房屋建筑。</w:t>
      </w:r>
    </w:p>
    <w:p w14:paraId="37B795F8">
      <w:pPr>
        <w:widowControl/>
        <w:spacing w:line="560" w:lineRule="exact"/>
        <w:ind w:firstLine="640" w:firstLineChars="200"/>
        <w:jc w:val="left"/>
        <w:rPr>
          <w:rFonts w:ascii="黑体" w:hAnsi="黑体" w:eastAsia="黑体"/>
          <w:sz w:val="32"/>
          <w:szCs w:val="32"/>
        </w:rPr>
      </w:pPr>
      <w:r>
        <w:rPr>
          <w:rFonts w:hint="eastAsia" w:ascii="黑体" w:hAnsi="黑体" w:eastAsia="黑体" w:cs="仿宋"/>
          <w:bCs/>
          <w:kern w:val="0"/>
          <w:sz w:val="32"/>
          <w:szCs w:val="32"/>
          <w:lang w:val="en-US" w:eastAsia="zh-CN" w:bidi="ar"/>
        </w:rPr>
        <w:t>五</w:t>
      </w:r>
      <w:r>
        <w:rPr>
          <w:rFonts w:hint="eastAsia" w:ascii="黑体" w:hAnsi="黑体" w:eastAsia="黑体" w:cs="仿宋"/>
          <w:bCs/>
          <w:kern w:val="0"/>
          <w:sz w:val="32"/>
          <w:szCs w:val="32"/>
          <w:lang w:bidi="ar"/>
        </w:rPr>
        <w:t>、</w:t>
      </w:r>
      <w:r>
        <w:rPr>
          <w:rFonts w:hint="eastAsia" w:ascii="黑体" w:hAnsi="黑体" w:eastAsia="黑体" w:cs="仿宋"/>
          <w:bCs/>
          <w:kern w:val="0"/>
          <w:sz w:val="32"/>
          <w:szCs w:val="32"/>
          <w:lang w:val="en-US" w:eastAsia="zh-CN" w:bidi="ar"/>
        </w:rPr>
        <w:t>单位</w:t>
      </w:r>
      <w:r>
        <w:rPr>
          <w:rFonts w:hint="eastAsia" w:ascii="黑体" w:hAnsi="黑体" w:eastAsia="黑体" w:cs="仿宋"/>
          <w:bCs/>
          <w:kern w:val="0"/>
          <w:sz w:val="32"/>
          <w:szCs w:val="32"/>
          <w:lang w:bidi="ar"/>
        </w:rPr>
        <w:t>组织征收收入计划</w:t>
      </w:r>
    </w:p>
    <w:p w14:paraId="190111D4">
      <w:pPr>
        <w:widowControl/>
        <w:spacing w:line="56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2025年乌海市药物警戒中心</w:t>
      </w:r>
      <w:r>
        <w:rPr>
          <w:rFonts w:hint="eastAsia" w:ascii="仿宋_GB2312" w:hAnsi="仿宋_GB2312" w:eastAsia="仿宋_GB2312" w:cs="仿宋_GB2312"/>
          <w:kern w:val="0"/>
          <w:sz w:val="32"/>
          <w:szCs w:val="32"/>
          <w:lang w:val="en-US" w:eastAsia="zh-CN" w:bidi="ar"/>
        </w:rPr>
        <w:t>单位</w:t>
      </w:r>
      <w:r>
        <w:rPr>
          <w:rFonts w:hint="eastAsia" w:ascii="仿宋_GB2312" w:hAnsi="仿宋_GB2312" w:eastAsia="仿宋_GB2312" w:cs="仿宋_GB2312"/>
          <w:kern w:val="0"/>
          <w:sz w:val="32"/>
          <w:szCs w:val="32"/>
          <w:lang w:bidi="ar"/>
        </w:rPr>
        <w:t>组织征收收入计划0万元，全部纳入预算管理。其中：非税收费项目为0万元。</w:t>
      </w:r>
    </w:p>
    <w:p w14:paraId="1406C891">
      <w:pPr>
        <w:widowControl/>
        <w:spacing w:line="560" w:lineRule="exact"/>
        <w:ind w:firstLine="640" w:firstLineChars="200"/>
        <w:jc w:val="left"/>
        <w:rPr>
          <w:rFonts w:ascii="黑体" w:hAnsi="黑体" w:eastAsia="黑体"/>
          <w:sz w:val="32"/>
          <w:szCs w:val="32"/>
        </w:rPr>
      </w:pPr>
      <w:r>
        <w:rPr>
          <w:rFonts w:hint="eastAsia" w:ascii="黑体" w:hAnsi="黑体" w:eastAsia="黑体" w:cs="仿宋"/>
          <w:bCs/>
          <w:kern w:val="0"/>
          <w:sz w:val="32"/>
          <w:szCs w:val="32"/>
          <w:lang w:val="en-US" w:eastAsia="zh-CN" w:bidi="ar"/>
        </w:rPr>
        <w:t>六</w:t>
      </w:r>
      <w:r>
        <w:rPr>
          <w:rFonts w:hint="eastAsia" w:ascii="黑体" w:hAnsi="黑体" w:eastAsia="黑体" w:cs="仿宋"/>
          <w:bCs/>
          <w:kern w:val="0"/>
          <w:sz w:val="32"/>
          <w:szCs w:val="32"/>
          <w:lang w:bidi="ar"/>
        </w:rPr>
        <w:t>、绩效目标设置情况说明</w:t>
      </w:r>
    </w:p>
    <w:p w14:paraId="634917B9">
      <w:pPr>
        <w:widowControl/>
        <w:spacing w:line="560" w:lineRule="exact"/>
        <w:ind w:firstLine="640" w:firstLineChars="200"/>
        <w:jc w:val="left"/>
        <w:rPr>
          <w:rFonts w:ascii="仿宋_GB2312" w:eastAsia="仿宋_GB2312"/>
          <w:sz w:val="32"/>
          <w:szCs w:val="32"/>
        </w:rPr>
      </w:pPr>
      <w:r>
        <w:rPr>
          <w:rFonts w:hint="eastAsia" w:ascii="仿宋_GB2312" w:hAnsi="仿宋_GB2312" w:eastAsia="仿宋_GB2312" w:cs="仿宋"/>
          <w:sz w:val="32"/>
          <w:szCs w:val="32"/>
        </w:rPr>
        <w:t>乌海市药物警戒中心单位2025</w:t>
      </w:r>
      <w:r>
        <w:rPr>
          <w:rFonts w:eastAsia="仿宋_GB2312"/>
          <w:sz w:val="32"/>
          <w:szCs w:val="32"/>
        </w:rPr>
        <w:t>年度</w:t>
      </w:r>
      <w:r>
        <w:rPr>
          <w:rFonts w:hint="eastAsia" w:eastAsia="仿宋_GB2312"/>
          <w:sz w:val="32"/>
          <w:szCs w:val="32"/>
        </w:rPr>
        <w:t>填报绩效目标的预算项</w:t>
      </w:r>
      <w:r>
        <w:rPr>
          <w:rFonts w:hint="eastAsia" w:ascii="仿宋_GB2312" w:hAnsi="仿宋_GB2312" w:eastAsia="仿宋_GB2312" w:cs="仿宋_GB2312"/>
          <w:sz w:val="32"/>
          <w:szCs w:val="32"/>
        </w:rPr>
        <w:t>目</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个，公开绩效目标1个，涉密不进行公开的项目0个</w:t>
      </w:r>
      <w:r>
        <w:rPr>
          <w:rFonts w:hint="eastAsia" w:ascii="仿宋_GB2312" w:hAnsi="仿宋" w:eastAsia="仿宋_GB2312" w:cs="仿宋"/>
          <w:kern w:val="0"/>
          <w:sz w:val="32"/>
          <w:szCs w:val="32"/>
          <w:lang w:bidi="ar"/>
        </w:rPr>
        <w:t>，公开项目占全部预算项目的100%。公开填报绩效目标的项目支出预算5万元，占全部项目支出预算的1</w:t>
      </w:r>
      <w:r>
        <w:rPr>
          <w:rFonts w:hint="eastAsia" w:ascii="仿宋_GB2312" w:hAnsi="仿宋" w:eastAsia="仿宋_GB2312" w:cs="仿宋"/>
          <w:kern w:val="0"/>
          <w:sz w:val="32"/>
          <w:szCs w:val="32"/>
          <w:lang w:val="en-US" w:eastAsia="zh-CN" w:bidi="ar"/>
        </w:rPr>
        <w:t>00</w:t>
      </w:r>
      <w:r>
        <w:rPr>
          <w:rFonts w:hint="eastAsia" w:ascii="仿宋_GB2312" w:hAnsi="仿宋" w:eastAsia="仿宋_GB2312" w:cs="仿宋"/>
          <w:kern w:val="0"/>
          <w:sz w:val="32"/>
          <w:szCs w:val="32"/>
          <w:lang w:bidi="ar"/>
        </w:rPr>
        <w:t>%。</w:t>
      </w:r>
    </w:p>
    <w:p w14:paraId="06200521">
      <w:pPr>
        <w:widowControl/>
        <w:spacing w:line="560" w:lineRule="exact"/>
        <w:ind w:firstLine="643" w:firstLineChars="200"/>
        <w:jc w:val="center"/>
        <w:rPr>
          <w:rFonts w:ascii="仿宋_GB2312" w:hAnsi="仿宋" w:eastAsia="仿宋_GB2312" w:cs="仿宋"/>
          <w:b/>
          <w:bCs/>
          <w:kern w:val="0"/>
          <w:sz w:val="32"/>
          <w:szCs w:val="32"/>
          <w:lang w:bidi="ar"/>
        </w:rPr>
      </w:pPr>
    </w:p>
    <w:p w14:paraId="15716C34">
      <w:pPr>
        <w:widowControl/>
        <w:spacing w:line="560" w:lineRule="exact"/>
        <w:ind w:firstLine="723" w:firstLineChars="200"/>
        <w:jc w:val="center"/>
        <w:rPr>
          <w:rFonts w:ascii="仿宋_GB2312" w:eastAsia="仿宋_GB2312"/>
          <w:sz w:val="36"/>
          <w:szCs w:val="32"/>
        </w:rPr>
      </w:pPr>
      <w:r>
        <w:rPr>
          <w:rFonts w:hint="eastAsia" w:ascii="仿宋_GB2312" w:hAnsi="仿宋" w:eastAsia="仿宋_GB2312" w:cs="仿宋"/>
          <w:b/>
          <w:bCs/>
          <w:kern w:val="0"/>
          <w:sz w:val="36"/>
          <w:szCs w:val="32"/>
          <w:lang w:bidi="ar"/>
        </w:rPr>
        <w:t>第四部分 名词解释</w:t>
      </w:r>
    </w:p>
    <w:p w14:paraId="15DD17F2">
      <w:pPr>
        <w:spacing w:line="600" w:lineRule="exact"/>
        <w:ind w:firstLine="643" w:firstLineChars="200"/>
        <w:rPr>
          <w:rFonts w:hint="eastAsia" w:eastAsia="仿宋_GB2312"/>
          <w:b/>
          <w:bCs/>
          <w:sz w:val="32"/>
          <w:szCs w:val="32"/>
        </w:rPr>
      </w:pPr>
    </w:p>
    <w:p w14:paraId="3B50B69F">
      <w:pPr>
        <w:spacing w:line="600" w:lineRule="exact"/>
        <w:ind w:firstLine="643" w:firstLineChars="200"/>
        <w:rPr>
          <w:rFonts w:ascii="仿宋_GB2312" w:hAnsi="仿宋" w:eastAsia="仿宋_GB2312" w:cs="仿宋"/>
          <w:b/>
          <w:bCs/>
          <w:kern w:val="0"/>
          <w:sz w:val="32"/>
          <w:szCs w:val="32"/>
          <w:lang w:bidi="ar"/>
        </w:rPr>
      </w:pPr>
      <w:r>
        <w:rPr>
          <w:rFonts w:hint="eastAsia" w:eastAsia="仿宋_GB2312"/>
          <w:b/>
          <w:bCs/>
          <w:sz w:val="32"/>
          <w:szCs w:val="32"/>
        </w:rPr>
        <w:t>一、财政拨款：</w:t>
      </w:r>
      <w:r>
        <w:rPr>
          <w:rFonts w:hint="eastAsia" w:eastAsia="仿宋_GB2312"/>
          <w:sz w:val="32"/>
          <w:szCs w:val="32"/>
        </w:rPr>
        <w:t>从同级财政部门取得的各类财政拨款，包括一般公共预算拨款、政府性基金预算拨款、国有资本经营预算拨款。</w:t>
      </w:r>
    </w:p>
    <w:p w14:paraId="227AC04A">
      <w:pPr>
        <w:spacing w:line="600" w:lineRule="exact"/>
        <w:ind w:firstLine="643" w:firstLineChars="200"/>
        <w:rPr>
          <w:rFonts w:ascii="仿宋_GB2312" w:hAnsi="仿宋" w:eastAsia="仿宋_GB2312" w:cs="仿宋"/>
          <w:kern w:val="0"/>
          <w:sz w:val="32"/>
          <w:szCs w:val="32"/>
          <w:lang w:bidi="ar"/>
        </w:rPr>
      </w:pPr>
      <w:r>
        <w:rPr>
          <w:rFonts w:hint="eastAsia" w:ascii="仿宋_GB2312" w:hAnsi="仿宋" w:eastAsia="仿宋_GB2312" w:cs="仿宋"/>
          <w:b/>
          <w:bCs/>
          <w:kern w:val="0"/>
          <w:sz w:val="32"/>
          <w:szCs w:val="32"/>
          <w:lang w:bidi="ar"/>
        </w:rPr>
        <w:t>二、一般公共预算财政拨款收入</w:t>
      </w:r>
      <w:r>
        <w:rPr>
          <w:rFonts w:hint="eastAsia" w:ascii="仿宋_GB2312" w:hAnsi="仿宋" w:eastAsia="仿宋_GB2312" w:cs="仿宋"/>
          <w:kern w:val="0"/>
          <w:sz w:val="32"/>
          <w:szCs w:val="32"/>
          <w:lang w:bidi="ar"/>
        </w:rPr>
        <w:t>：指各单位从各级财政部门取得的财政预算资金。</w:t>
      </w:r>
    </w:p>
    <w:p w14:paraId="5A2F9825">
      <w:pPr>
        <w:spacing w:line="600" w:lineRule="exact"/>
        <w:ind w:firstLine="643" w:firstLineChars="200"/>
        <w:rPr>
          <w:rFonts w:eastAsia="仿宋_GB2312"/>
          <w:sz w:val="32"/>
          <w:szCs w:val="32"/>
        </w:rPr>
      </w:pPr>
      <w:r>
        <w:rPr>
          <w:rFonts w:hint="eastAsia" w:eastAsia="仿宋_GB2312"/>
          <w:b/>
          <w:bCs/>
          <w:sz w:val="32"/>
          <w:szCs w:val="32"/>
        </w:rPr>
        <w:t>三、财政专户管理资金：</w:t>
      </w:r>
      <w:r>
        <w:rPr>
          <w:rFonts w:hint="eastAsia" w:eastAsia="仿宋_GB2312"/>
          <w:sz w:val="32"/>
          <w:szCs w:val="32"/>
        </w:rPr>
        <w:t>缴入财政专户、实行专项管理的高中以上学费、住宿费、高校委托培养费、函大、电大、夜大及短训班培训费等教育收费。</w:t>
      </w:r>
    </w:p>
    <w:p w14:paraId="6EECA54C">
      <w:pPr>
        <w:spacing w:line="600" w:lineRule="exact"/>
        <w:ind w:firstLine="643" w:firstLineChars="200"/>
      </w:pPr>
      <w:r>
        <w:rPr>
          <w:rFonts w:hint="eastAsia" w:eastAsia="仿宋_GB2312"/>
          <w:b/>
          <w:bCs/>
          <w:sz w:val="32"/>
          <w:szCs w:val="32"/>
        </w:rPr>
        <w:t>四、单位资金：</w:t>
      </w:r>
      <w:r>
        <w:rPr>
          <w:rFonts w:hint="eastAsia" w:eastAsia="仿宋_GB2312"/>
          <w:sz w:val="32"/>
          <w:szCs w:val="32"/>
        </w:rPr>
        <w:t>除财政拨款收入和财政专户管理资金以外的收入，包括事业收入（不含教育收费）、上级补助收入、附属单位上缴收入、事业单位经营收入及其他收入（包含债务收入、投资收益等）。</w:t>
      </w:r>
    </w:p>
    <w:p w14:paraId="078E36FE">
      <w:pPr>
        <w:widowControl/>
        <w:spacing w:line="560" w:lineRule="exact"/>
        <w:ind w:firstLine="643" w:firstLineChars="200"/>
        <w:jc w:val="left"/>
        <w:rPr>
          <w:rFonts w:ascii="仿宋_GB2312" w:eastAsia="仿宋_GB2312"/>
          <w:sz w:val="32"/>
          <w:szCs w:val="32"/>
        </w:rPr>
      </w:pPr>
      <w:r>
        <w:rPr>
          <w:rFonts w:hint="eastAsia" w:ascii="仿宋_GB2312" w:hAnsi="仿宋" w:eastAsia="仿宋_GB2312" w:cs="仿宋"/>
          <w:b/>
          <w:bCs/>
          <w:kern w:val="0"/>
          <w:sz w:val="32"/>
          <w:szCs w:val="32"/>
          <w:lang w:bidi="ar"/>
        </w:rPr>
        <w:t>五、事业收入</w:t>
      </w:r>
      <w:r>
        <w:rPr>
          <w:rFonts w:hint="eastAsia" w:ascii="仿宋_GB2312" w:hAnsi="仿宋" w:eastAsia="仿宋_GB2312" w:cs="仿宋"/>
          <w:kern w:val="0"/>
          <w:sz w:val="32"/>
          <w:szCs w:val="32"/>
          <w:lang w:bidi="ar"/>
        </w:rPr>
        <w:t>：是指事业单位开展专业业务活动及辅助活动所取得的收入。</w:t>
      </w:r>
    </w:p>
    <w:p w14:paraId="75E074C7">
      <w:pPr>
        <w:widowControl/>
        <w:spacing w:line="560" w:lineRule="exact"/>
        <w:ind w:firstLine="643" w:firstLineChars="200"/>
        <w:jc w:val="left"/>
        <w:rPr>
          <w:rFonts w:ascii="仿宋_GB2312" w:hAnsi="仿宋" w:eastAsia="仿宋_GB2312" w:cs="仿宋"/>
          <w:kern w:val="0"/>
          <w:sz w:val="32"/>
          <w:szCs w:val="32"/>
          <w:lang w:bidi="ar"/>
        </w:rPr>
      </w:pPr>
      <w:r>
        <w:rPr>
          <w:rFonts w:hint="eastAsia" w:ascii="仿宋_GB2312" w:hAnsi="仿宋" w:eastAsia="仿宋_GB2312" w:cs="仿宋"/>
          <w:b/>
          <w:bCs/>
          <w:kern w:val="0"/>
          <w:sz w:val="32"/>
          <w:szCs w:val="32"/>
          <w:lang w:bidi="ar"/>
        </w:rPr>
        <w:t>六、事业单位经营收入</w:t>
      </w:r>
      <w:r>
        <w:rPr>
          <w:rFonts w:hint="eastAsia" w:ascii="仿宋_GB2312" w:hAnsi="仿宋" w:eastAsia="仿宋_GB2312" w:cs="仿宋"/>
          <w:kern w:val="0"/>
          <w:sz w:val="32"/>
          <w:szCs w:val="32"/>
          <w:lang w:bidi="ar"/>
        </w:rPr>
        <w:t>：是指事业单位在专业业务活动及其辅助活动之外开展非独立核算经营活动取得的收入。</w:t>
      </w:r>
    </w:p>
    <w:p w14:paraId="3EECF393">
      <w:pPr>
        <w:widowControl/>
        <w:spacing w:line="560" w:lineRule="exact"/>
        <w:ind w:firstLine="643" w:firstLineChars="200"/>
        <w:jc w:val="left"/>
        <w:rPr>
          <w:rFonts w:ascii="仿宋_GB2312" w:eastAsia="仿宋_GB2312"/>
          <w:sz w:val="32"/>
          <w:szCs w:val="32"/>
        </w:rPr>
      </w:pPr>
      <w:r>
        <w:rPr>
          <w:rFonts w:hint="eastAsia" w:ascii="仿宋_GB2312" w:hAnsi="仿宋" w:eastAsia="仿宋_GB2312" w:cs="仿宋"/>
          <w:b/>
          <w:bCs/>
          <w:kern w:val="0"/>
          <w:sz w:val="32"/>
          <w:szCs w:val="32"/>
          <w:lang w:bidi="ar"/>
        </w:rPr>
        <w:t>七、其他收入</w:t>
      </w:r>
      <w:r>
        <w:rPr>
          <w:rFonts w:hint="eastAsia" w:ascii="仿宋_GB2312" w:hAnsi="仿宋" w:eastAsia="仿宋_GB2312" w:cs="仿宋"/>
          <w:kern w:val="0"/>
          <w:sz w:val="32"/>
          <w:szCs w:val="32"/>
          <w:lang w:bidi="ar"/>
        </w:rPr>
        <w:t>：是指除上述“一般公共预算财政拨款收入”、“事业收入”、“事业单位经营收入”等以外的收入。主要是指按规定动用的售房收入、存款利息收入等。</w:t>
      </w:r>
    </w:p>
    <w:p w14:paraId="23491CDB">
      <w:pPr>
        <w:widowControl/>
        <w:spacing w:line="560" w:lineRule="exact"/>
        <w:ind w:firstLine="643" w:firstLineChars="200"/>
        <w:jc w:val="left"/>
        <w:rPr>
          <w:rFonts w:ascii="仿宋_GB2312" w:eastAsia="仿宋_GB2312"/>
          <w:sz w:val="32"/>
          <w:szCs w:val="32"/>
        </w:rPr>
      </w:pPr>
      <w:r>
        <w:rPr>
          <w:rFonts w:hint="eastAsia" w:ascii="仿宋_GB2312" w:hAnsi="仿宋" w:eastAsia="仿宋_GB2312" w:cs="仿宋"/>
          <w:b/>
          <w:bCs/>
          <w:kern w:val="0"/>
          <w:sz w:val="32"/>
          <w:szCs w:val="32"/>
          <w:lang w:bidi="ar"/>
        </w:rPr>
        <w:t>八、上年结转和结余</w:t>
      </w:r>
      <w:r>
        <w:rPr>
          <w:rFonts w:hint="eastAsia" w:ascii="仿宋_GB2312" w:hAnsi="仿宋" w:eastAsia="仿宋_GB2312" w:cs="仿宋"/>
          <w:kern w:val="0"/>
          <w:sz w:val="32"/>
          <w:szCs w:val="32"/>
          <w:lang w:bidi="ar"/>
        </w:rPr>
        <w:t>：是指以前年度尚未完成、结转到本年仍按原规定用途继续使用的资金</w:t>
      </w:r>
      <w:r>
        <w:rPr>
          <w:rFonts w:hint="eastAsia" w:eastAsia="仿宋_GB2312" w:cs="仿宋"/>
          <w:kern w:val="0"/>
          <w:sz w:val="32"/>
          <w:szCs w:val="32"/>
          <w:lang w:bidi="ar"/>
        </w:rPr>
        <w:t>。</w:t>
      </w:r>
    </w:p>
    <w:p w14:paraId="46E4B7DA">
      <w:pPr>
        <w:widowControl/>
        <w:spacing w:line="560" w:lineRule="exact"/>
        <w:ind w:firstLine="643" w:firstLineChars="200"/>
        <w:jc w:val="left"/>
        <w:rPr>
          <w:rFonts w:ascii="仿宋_GB2312" w:hAnsi="仿宋" w:eastAsia="仿宋_GB2312" w:cs="仿宋"/>
          <w:kern w:val="0"/>
          <w:sz w:val="32"/>
          <w:szCs w:val="32"/>
          <w:lang w:bidi="ar"/>
        </w:rPr>
      </w:pPr>
      <w:r>
        <w:rPr>
          <w:rFonts w:hint="eastAsia" w:ascii="仿宋_GB2312" w:hAnsi="仿宋" w:eastAsia="仿宋_GB2312" w:cs="仿宋"/>
          <w:b/>
          <w:bCs/>
          <w:kern w:val="0"/>
          <w:sz w:val="32"/>
          <w:szCs w:val="32"/>
          <w:lang w:bidi="ar"/>
        </w:rPr>
        <w:t>九、基本支出</w:t>
      </w:r>
      <w:r>
        <w:rPr>
          <w:rFonts w:hint="eastAsia" w:ascii="仿宋_GB2312" w:hAnsi="仿宋" w:eastAsia="仿宋_GB2312" w:cs="仿宋"/>
          <w:kern w:val="0"/>
          <w:sz w:val="32"/>
          <w:szCs w:val="32"/>
          <w:lang w:bidi="ar"/>
        </w:rPr>
        <w:t>：指各单位为保障机构正常运转和完成日常工作任务发生的支出，包括人员支出和公用支出。</w:t>
      </w:r>
    </w:p>
    <w:p w14:paraId="4F6E0C2C">
      <w:pPr>
        <w:widowControl/>
        <w:spacing w:line="560" w:lineRule="exact"/>
        <w:ind w:firstLine="643" w:firstLineChars="200"/>
        <w:jc w:val="left"/>
        <w:rPr>
          <w:rFonts w:ascii="仿宋_GB2312" w:eastAsia="仿宋_GB2312"/>
          <w:sz w:val="32"/>
          <w:szCs w:val="32"/>
        </w:rPr>
      </w:pPr>
      <w:r>
        <w:rPr>
          <w:rFonts w:hint="eastAsia" w:ascii="仿宋_GB2312" w:hAnsi="仿宋" w:eastAsia="仿宋_GB2312" w:cs="仿宋"/>
          <w:b/>
          <w:bCs/>
          <w:kern w:val="0"/>
          <w:sz w:val="32"/>
          <w:szCs w:val="32"/>
          <w:lang w:bidi="ar"/>
        </w:rPr>
        <w:t>十、项目支出</w:t>
      </w:r>
      <w:r>
        <w:rPr>
          <w:rFonts w:hint="eastAsia" w:ascii="仿宋_GB2312" w:hAnsi="仿宋" w:eastAsia="仿宋_GB2312" w:cs="仿宋"/>
          <w:kern w:val="0"/>
          <w:sz w:val="32"/>
          <w:szCs w:val="32"/>
          <w:lang w:bidi="ar"/>
        </w:rPr>
        <w:t>：指各单位为完成特定的工作任务，在基本支出之外发生的专项性支出。</w:t>
      </w:r>
    </w:p>
    <w:p w14:paraId="4BD5D5FD">
      <w:pPr>
        <w:widowControl/>
        <w:spacing w:line="560" w:lineRule="exact"/>
        <w:ind w:firstLine="643" w:firstLineChars="200"/>
        <w:jc w:val="left"/>
        <w:rPr>
          <w:rFonts w:ascii="仿宋_GB2312" w:eastAsia="仿宋_GB2312"/>
          <w:sz w:val="32"/>
          <w:szCs w:val="32"/>
        </w:rPr>
      </w:pPr>
      <w:r>
        <w:rPr>
          <w:rFonts w:hint="eastAsia" w:ascii="仿宋_GB2312" w:hAnsi="仿宋" w:eastAsia="仿宋_GB2312" w:cs="仿宋"/>
          <w:b/>
          <w:bCs/>
          <w:kern w:val="0"/>
          <w:sz w:val="32"/>
          <w:szCs w:val="32"/>
          <w:lang w:bidi="ar"/>
        </w:rPr>
        <w:t>十一、工资福利支出（支出经济分类科目类级）</w:t>
      </w:r>
      <w:r>
        <w:rPr>
          <w:rFonts w:hint="eastAsia" w:ascii="仿宋_GB2312" w:hAnsi="仿宋" w:eastAsia="仿宋_GB2312" w:cs="仿宋"/>
          <w:kern w:val="0"/>
          <w:sz w:val="32"/>
          <w:szCs w:val="32"/>
          <w:lang w:bidi="ar"/>
        </w:rPr>
        <w:t>：反映单位开支的在职职工和编制外长期聘用人员的各类劳动报酬，经及上述人员缴纳的各项社会保险费等。</w:t>
      </w:r>
    </w:p>
    <w:p w14:paraId="657F3B3A">
      <w:pPr>
        <w:widowControl/>
        <w:spacing w:line="560" w:lineRule="exact"/>
        <w:ind w:firstLine="643" w:firstLineChars="200"/>
        <w:jc w:val="left"/>
        <w:rPr>
          <w:rFonts w:ascii="仿宋_GB2312" w:eastAsia="仿宋_GB2312"/>
          <w:sz w:val="32"/>
          <w:szCs w:val="32"/>
        </w:rPr>
      </w:pPr>
      <w:r>
        <w:rPr>
          <w:rFonts w:hint="eastAsia" w:ascii="仿宋_GB2312" w:hAnsi="仿宋" w:eastAsia="仿宋_GB2312" w:cs="仿宋"/>
          <w:b/>
          <w:bCs/>
          <w:kern w:val="0"/>
          <w:sz w:val="32"/>
          <w:szCs w:val="32"/>
          <w:lang w:bidi="ar"/>
        </w:rPr>
        <w:t>十二、商品和服务支出（支出经济分类科目类级）</w:t>
      </w:r>
      <w:r>
        <w:rPr>
          <w:rFonts w:hint="eastAsia" w:ascii="仿宋_GB2312" w:hAnsi="仿宋" w:eastAsia="仿宋_GB2312" w:cs="仿宋"/>
          <w:kern w:val="0"/>
          <w:sz w:val="32"/>
          <w:szCs w:val="32"/>
          <w:lang w:bidi="ar"/>
        </w:rPr>
        <w:t>：反映单位购买商品和服务的支出（不包括用于购置固定资产的支出、战略性和应急储备支出）。</w:t>
      </w:r>
    </w:p>
    <w:p w14:paraId="5D10049F">
      <w:pPr>
        <w:widowControl/>
        <w:spacing w:line="560" w:lineRule="exact"/>
        <w:ind w:firstLine="643" w:firstLineChars="200"/>
        <w:jc w:val="left"/>
        <w:rPr>
          <w:rFonts w:ascii="仿宋_GB2312" w:eastAsia="仿宋_GB2312"/>
          <w:sz w:val="32"/>
          <w:szCs w:val="32"/>
        </w:rPr>
      </w:pPr>
      <w:r>
        <w:rPr>
          <w:rFonts w:hint="eastAsia" w:ascii="仿宋_GB2312" w:hAnsi="仿宋" w:eastAsia="仿宋_GB2312" w:cs="仿宋"/>
          <w:b/>
          <w:bCs/>
          <w:kern w:val="0"/>
          <w:sz w:val="32"/>
          <w:szCs w:val="32"/>
          <w:lang w:bidi="ar"/>
        </w:rPr>
        <w:t>十三、对个人和家庭的补助（支出经济分类科目类级）：</w:t>
      </w:r>
      <w:r>
        <w:rPr>
          <w:rFonts w:hint="eastAsia" w:ascii="仿宋_GB2312" w:hAnsi="仿宋" w:eastAsia="仿宋_GB2312" w:cs="仿宋"/>
          <w:kern w:val="0"/>
          <w:sz w:val="32"/>
          <w:szCs w:val="32"/>
          <w:lang w:bidi="ar"/>
        </w:rPr>
        <w:t>反映政府用于对个人和家庭的补助支出。</w:t>
      </w:r>
    </w:p>
    <w:p w14:paraId="4A8E3ED3">
      <w:pPr>
        <w:widowControl/>
        <w:spacing w:line="560" w:lineRule="exact"/>
        <w:ind w:firstLine="643" w:firstLineChars="200"/>
        <w:jc w:val="left"/>
        <w:rPr>
          <w:rFonts w:ascii="仿宋_GB2312" w:eastAsia="仿宋_GB2312"/>
          <w:sz w:val="32"/>
          <w:szCs w:val="32"/>
        </w:rPr>
      </w:pPr>
      <w:r>
        <w:rPr>
          <w:rFonts w:hint="eastAsia" w:ascii="仿宋_GB2312" w:hAnsi="仿宋" w:eastAsia="仿宋_GB2312" w:cs="仿宋"/>
          <w:b/>
          <w:bCs/>
          <w:kern w:val="0"/>
          <w:sz w:val="32"/>
          <w:szCs w:val="32"/>
          <w:lang w:bidi="ar"/>
        </w:rPr>
        <w:t>十四、“三公”经费</w:t>
      </w:r>
      <w:r>
        <w:rPr>
          <w:rFonts w:hint="eastAsia" w:ascii="仿宋_GB2312" w:hAnsi="仿宋" w:eastAsia="仿宋_GB2312" w:cs="仿宋"/>
          <w:kern w:val="0"/>
          <w:sz w:val="32"/>
          <w:szCs w:val="32"/>
          <w:lang w:bidi="ar"/>
        </w:rPr>
        <w:t>：指因公出国（境）经费、公务接待费、公务用车购置及运行经费和公务接待费。其中：公务用车购置及运行经费指部门公务用车购置费及燃料费、维修费、过路过桥费、保险费、安全奖励费用等支出；公务接待费指部门按规定开支的各类公务接待支出。</w:t>
      </w:r>
    </w:p>
    <w:p w14:paraId="4E0CF02E">
      <w:pPr>
        <w:widowControl/>
        <w:spacing w:line="560" w:lineRule="exact"/>
        <w:ind w:firstLine="643" w:firstLineChars="200"/>
        <w:jc w:val="left"/>
        <w:rPr>
          <w:rFonts w:ascii="仿宋_GB2312" w:eastAsia="仿宋_GB2312"/>
          <w:sz w:val="32"/>
          <w:szCs w:val="32"/>
        </w:rPr>
      </w:pPr>
      <w:r>
        <w:rPr>
          <w:rFonts w:hint="eastAsia" w:ascii="仿宋_GB2312" w:hAnsi="仿宋" w:eastAsia="仿宋_GB2312" w:cs="仿宋"/>
          <w:b/>
          <w:bCs/>
          <w:kern w:val="0"/>
          <w:sz w:val="32"/>
          <w:szCs w:val="32"/>
          <w:lang w:bidi="ar"/>
        </w:rPr>
        <w:t>十五、机关运行经费</w:t>
      </w:r>
      <w:r>
        <w:rPr>
          <w:rFonts w:hint="eastAsia" w:ascii="仿宋_GB2312" w:hAnsi="仿宋" w:eastAsia="仿宋_GB2312" w:cs="仿宋"/>
          <w:kern w:val="0"/>
          <w:sz w:val="32"/>
          <w:szCs w:val="32"/>
          <w:lang w:bidi="ar"/>
        </w:rPr>
        <w:t>：是指为保障行政单位（含参照公务员法管理的事业单位）运行，用于购买货物和服务等的各项公用经费，包括办公及印刷费、邮电费、差旅费、会议费、福利费、日常维修费、专业材料及一般设备购置费、办公用房水电费、办公用房取暖费、办公用房物业管理费、公务用车运行维护费以及其他费用。</w:t>
      </w:r>
    </w:p>
    <w:p w14:paraId="6166F225">
      <w:pPr>
        <w:widowControl/>
        <w:spacing w:line="560" w:lineRule="exact"/>
        <w:ind w:firstLine="643" w:firstLineChars="200"/>
        <w:jc w:val="left"/>
        <w:rPr>
          <w:rFonts w:ascii="仿宋_GB2312" w:eastAsia="仿宋_GB2312"/>
          <w:sz w:val="32"/>
          <w:szCs w:val="32"/>
        </w:rPr>
      </w:pPr>
      <w:r>
        <w:rPr>
          <w:rFonts w:hint="eastAsia" w:ascii="仿宋_GB2312" w:hAnsi="仿宋" w:eastAsia="仿宋_GB2312" w:cs="仿宋"/>
          <w:b/>
          <w:bCs/>
          <w:kern w:val="0"/>
          <w:sz w:val="32"/>
          <w:szCs w:val="32"/>
          <w:lang w:bidi="ar"/>
        </w:rPr>
        <w:t>十六、事业运转经费</w:t>
      </w:r>
      <w:r>
        <w:rPr>
          <w:rFonts w:hint="eastAsia" w:ascii="仿宋_GB2312" w:hAnsi="仿宋" w:eastAsia="仿宋_GB2312" w:cs="仿宋"/>
          <w:kern w:val="0"/>
          <w:sz w:val="32"/>
          <w:szCs w:val="32"/>
          <w:lang w:bidi="ar"/>
        </w:rPr>
        <w:t>：是指为保障事业单位（不含参照公务员法管理的事业单位）运行，用于购买货物和服务等的各项公用经费，包括办公及印刷费、邮电费、差旅费、会议费、福利费、日常维修费、专业材料及一般设备购置费、办公用房水电费、办公用房取暖费、办公用房物业管理费、公务用车运行维护费以及其他费用。</w:t>
      </w:r>
    </w:p>
    <w:p w14:paraId="24D8E50D">
      <w:pPr>
        <w:widowControl/>
        <w:spacing w:line="600" w:lineRule="exact"/>
        <w:jc w:val="both"/>
        <w:rPr>
          <w:rFonts w:ascii="仿宋_GB2312" w:hAnsi="仿宋" w:eastAsia="仿宋_GB2312" w:cs="仿宋"/>
          <w:b/>
          <w:bCs/>
          <w:kern w:val="0"/>
          <w:sz w:val="36"/>
          <w:szCs w:val="32"/>
          <w:lang w:bidi="ar"/>
        </w:rPr>
      </w:pPr>
    </w:p>
    <w:p w14:paraId="2FD7F911">
      <w:pPr>
        <w:widowControl/>
        <w:spacing w:line="600" w:lineRule="exact"/>
        <w:jc w:val="center"/>
        <w:rPr>
          <w:rFonts w:ascii="仿宋_GB2312" w:eastAsia="仿宋_GB2312"/>
          <w:sz w:val="36"/>
          <w:szCs w:val="32"/>
        </w:rPr>
      </w:pPr>
      <w:r>
        <w:rPr>
          <w:rFonts w:hint="eastAsia" w:ascii="仿宋_GB2312" w:hAnsi="仿宋" w:eastAsia="仿宋_GB2312" w:cs="仿宋"/>
          <w:b/>
          <w:bCs/>
          <w:kern w:val="0"/>
          <w:sz w:val="36"/>
          <w:szCs w:val="32"/>
          <w:lang w:bidi="ar"/>
        </w:rPr>
        <w:t>第五部分 预算公开联系方式及信息反馈渠道</w:t>
      </w:r>
    </w:p>
    <w:p w14:paraId="0B7AD6BF">
      <w:pPr>
        <w:widowControl/>
        <w:spacing w:line="600" w:lineRule="exact"/>
        <w:ind w:firstLine="640" w:firstLineChars="200"/>
        <w:jc w:val="left"/>
        <w:rPr>
          <w:rFonts w:ascii="仿宋_GB2312" w:hAnsi="仿宋" w:eastAsia="仿宋_GB2312" w:cs="仿宋"/>
          <w:kern w:val="0"/>
          <w:sz w:val="32"/>
          <w:szCs w:val="32"/>
          <w:lang w:bidi="ar"/>
        </w:rPr>
      </w:pPr>
    </w:p>
    <w:p w14:paraId="028D2180">
      <w:pPr>
        <w:widowControl/>
        <w:spacing w:line="600" w:lineRule="exact"/>
        <w:ind w:firstLine="640" w:firstLineChars="200"/>
        <w:jc w:val="left"/>
        <w:rPr>
          <w:rFonts w:ascii="仿宋_GB2312" w:eastAsia="仿宋_GB2312"/>
          <w:sz w:val="32"/>
          <w:szCs w:val="32"/>
        </w:rPr>
      </w:pPr>
      <w:r>
        <w:rPr>
          <w:rFonts w:hint="eastAsia" w:ascii="仿宋_GB2312" w:hAnsi="仿宋" w:eastAsia="仿宋_GB2312" w:cs="仿宋"/>
          <w:kern w:val="0"/>
          <w:sz w:val="32"/>
          <w:szCs w:val="32"/>
          <w:lang w:bidi="ar"/>
        </w:rPr>
        <w:t>本单位预算公开信息反馈和联系方式：</w:t>
      </w:r>
    </w:p>
    <w:p w14:paraId="7B4AE33E">
      <w:pPr>
        <w:widowControl/>
        <w:spacing w:line="600" w:lineRule="exact"/>
        <w:ind w:firstLine="640" w:firstLineChars="200"/>
        <w:jc w:val="left"/>
        <w:rPr>
          <w:rFonts w:ascii="仿宋_GB2312" w:hAnsi="仿宋_GB2312" w:eastAsia="仿宋_GB2312" w:cs="仿宋_GB2312"/>
          <w:sz w:val="32"/>
          <w:szCs w:val="32"/>
        </w:rPr>
      </w:pPr>
      <w:r>
        <w:rPr>
          <w:rFonts w:hint="eastAsia" w:ascii="仿宋_GB2312" w:hAnsi="仿宋" w:eastAsia="仿宋_GB2312" w:cs="仿宋"/>
          <w:kern w:val="0"/>
          <w:sz w:val="32"/>
          <w:szCs w:val="32"/>
          <w:lang w:bidi="ar"/>
        </w:rPr>
        <w:t xml:space="preserve">联系人：齐薇     </w:t>
      </w:r>
      <w:r>
        <w:rPr>
          <w:rFonts w:hint="eastAsia" w:ascii="仿宋_GB2312" w:hAnsi="仿宋" w:eastAsia="仿宋_GB2312" w:cs="仿宋"/>
          <w:kern w:val="0"/>
          <w:sz w:val="32"/>
          <w:szCs w:val="32"/>
          <w:lang w:val="en-US" w:eastAsia="zh-CN" w:bidi="ar"/>
        </w:rPr>
        <w:t xml:space="preserve">  </w:t>
      </w:r>
      <w:r>
        <w:rPr>
          <w:rFonts w:hint="eastAsia" w:ascii="仿宋_GB2312" w:hAnsi="仿宋" w:eastAsia="仿宋_GB2312" w:cs="仿宋"/>
          <w:kern w:val="0"/>
          <w:sz w:val="32"/>
          <w:szCs w:val="32"/>
          <w:lang w:bidi="ar"/>
        </w:rPr>
        <w:t xml:space="preserve">    联系电话：</w:t>
      </w:r>
      <w:r>
        <w:rPr>
          <w:rFonts w:hint="eastAsia" w:ascii="仿宋_GB2312" w:hAnsi="仿宋_GB2312" w:eastAsia="仿宋_GB2312" w:cs="仿宋_GB2312"/>
          <w:sz w:val="32"/>
          <w:szCs w:val="32"/>
        </w:rPr>
        <w:t>3156868</w:t>
      </w:r>
    </w:p>
    <w:p w14:paraId="02FCC721">
      <w:pPr>
        <w:widowControl/>
        <w:spacing w:line="600" w:lineRule="exact"/>
        <w:ind w:firstLine="643" w:firstLineChars="200"/>
        <w:jc w:val="left"/>
        <w:rPr>
          <w:rFonts w:ascii="仿宋_GB2312" w:hAnsi="仿宋" w:eastAsia="仿宋_GB2312" w:cs="仿宋"/>
          <w:b/>
          <w:bCs/>
          <w:kern w:val="0"/>
          <w:sz w:val="32"/>
          <w:szCs w:val="32"/>
          <w:lang w:bidi="ar"/>
        </w:rPr>
      </w:pPr>
    </w:p>
    <w:p w14:paraId="366FDBEF">
      <w:pPr>
        <w:widowControl/>
        <w:spacing w:line="600" w:lineRule="exact"/>
        <w:ind w:firstLine="723" w:firstLineChars="200"/>
        <w:jc w:val="center"/>
        <w:rPr>
          <w:rFonts w:ascii="仿宋_GB2312" w:hAnsi="仿宋" w:eastAsia="仿宋_GB2312" w:cs="仿宋"/>
          <w:kern w:val="0"/>
          <w:sz w:val="32"/>
          <w:szCs w:val="32"/>
          <w:lang w:bidi="ar"/>
        </w:rPr>
      </w:pPr>
      <w:r>
        <w:rPr>
          <w:rFonts w:hint="eastAsia" w:ascii="仿宋_GB2312" w:hAnsi="仿宋" w:eastAsia="仿宋_GB2312" w:cs="仿宋"/>
          <w:b/>
          <w:bCs/>
          <w:kern w:val="0"/>
          <w:sz w:val="36"/>
          <w:szCs w:val="32"/>
          <w:lang w:bidi="ar"/>
        </w:rPr>
        <w:t xml:space="preserve">第六部分 </w:t>
      </w:r>
      <w:r>
        <w:rPr>
          <w:rFonts w:hint="eastAsia" w:ascii="仿宋_GB2312" w:hAnsi="仿宋" w:eastAsia="仿宋_GB2312" w:cs="仿宋"/>
          <w:b/>
          <w:bCs/>
          <w:kern w:val="0"/>
          <w:sz w:val="36"/>
          <w:szCs w:val="32"/>
          <w:lang w:val="en-US" w:eastAsia="zh-CN" w:bidi="ar"/>
        </w:rPr>
        <w:t>单位</w:t>
      </w:r>
      <w:r>
        <w:rPr>
          <w:rFonts w:hint="eastAsia" w:ascii="仿宋_GB2312" w:hAnsi="仿宋" w:eastAsia="仿宋_GB2312" w:cs="仿宋"/>
          <w:b/>
          <w:bCs/>
          <w:kern w:val="0"/>
          <w:sz w:val="36"/>
          <w:szCs w:val="32"/>
          <w:lang w:bidi="ar"/>
        </w:rPr>
        <w:t>预算公开表</w:t>
      </w:r>
    </w:p>
    <w:p w14:paraId="09D250E5">
      <w:pPr>
        <w:widowControl/>
        <w:spacing w:line="600" w:lineRule="exact"/>
        <w:ind w:firstLine="640" w:firstLineChars="200"/>
        <w:jc w:val="left"/>
        <w:rPr>
          <w:rFonts w:hint="eastAsia" w:ascii="仿宋_GB2312" w:hAnsi="仿宋" w:eastAsia="仿宋_GB2312" w:cs="仿宋"/>
          <w:kern w:val="0"/>
          <w:sz w:val="32"/>
          <w:szCs w:val="32"/>
          <w:lang w:bidi="ar"/>
        </w:rPr>
      </w:pPr>
    </w:p>
    <w:p w14:paraId="7C553A56">
      <w:pPr>
        <w:widowControl/>
        <w:spacing w:line="600" w:lineRule="exact"/>
        <w:ind w:firstLine="640" w:firstLineChars="200"/>
        <w:jc w:val="left"/>
        <w:rPr>
          <w:rFonts w:ascii="仿宋_GB2312" w:eastAsia="仿宋_GB2312"/>
          <w:sz w:val="32"/>
          <w:szCs w:val="32"/>
        </w:rPr>
      </w:pPr>
      <w:r>
        <w:rPr>
          <w:rFonts w:hint="eastAsia" w:ascii="仿宋_GB2312" w:hAnsi="仿宋" w:eastAsia="仿宋_GB2312" w:cs="仿宋"/>
          <w:kern w:val="0"/>
          <w:sz w:val="32"/>
          <w:szCs w:val="32"/>
          <w:lang w:bidi="ar"/>
        </w:rPr>
        <w:t>附表：</w:t>
      </w:r>
    </w:p>
    <w:p w14:paraId="4DC1B0C6">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一、</w:t>
      </w:r>
      <w:r>
        <w:rPr>
          <w:rFonts w:hint="eastAsia" w:ascii="Times New Roman" w:hAnsi="Times New Roman" w:eastAsia="仿宋_GB2312" w:cs="仿宋"/>
          <w:spacing w:val="-17"/>
          <w:w w:val="95"/>
          <w:sz w:val="32"/>
          <w:szCs w:val="32"/>
          <w:lang w:val="en-US" w:eastAsia="zh-CN"/>
        </w:rPr>
        <w:t>单位</w:t>
      </w:r>
      <w:r>
        <w:rPr>
          <w:rFonts w:hint="eastAsia" w:ascii="Times New Roman" w:hAnsi="Times New Roman" w:eastAsia="仿宋_GB2312" w:cs="仿宋"/>
          <w:spacing w:val="-17"/>
          <w:w w:val="95"/>
          <w:sz w:val="32"/>
          <w:szCs w:val="32"/>
        </w:rPr>
        <w:t>收支总体情况表</w:t>
      </w:r>
    </w:p>
    <w:p w14:paraId="4B180DD7">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二、</w:t>
      </w:r>
      <w:r>
        <w:rPr>
          <w:rFonts w:hint="eastAsia" w:ascii="Times New Roman" w:hAnsi="Times New Roman" w:eastAsia="仿宋_GB2312" w:cs="仿宋"/>
          <w:spacing w:val="-17"/>
          <w:w w:val="95"/>
          <w:sz w:val="32"/>
          <w:szCs w:val="32"/>
          <w:lang w:val="en-US" w:eastAsia="zh-CN"/>
        </w:rPr>
        <w:t>单位</w:t>
      </w:r>
      <w:r>
        <w:rPr>
          <w:rFonts w:hint="eastAsia" w:ascii="Times New Roman" w:hAnsi="Times New Roman" w:eastAsia="仿宋_GB2312" w:cs="仿宋"/>
          <w:spacing w:val="-17"/>
          <w:w w:val="95"/>
          <w:sz w:val="32"/>
          <w:szCs w:val="32"/>
        </w:rPr>
        <w:t>收入总体情况表</w:t>
      </w:r>
    </w:p>
    <w:p w14:paraId="7FE7262D">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三、</w:t>
      </w:r>
      <w:r>
        <w:rPr>
          <w:rFonts w:hint="eastAsia" w:ascii="Times New Roman" w:hAnsi="Times New Roman" w:eastAsia="仿宋_GB2312" w:cs="仿宋"/>
          <w:spacing w:val="-17"/>
          <w:w w:val="95"/>
          <w:sz w:val="32"/>
          <w:szCs w:val="32"/>
          <w:lang w:val="en-US" w:eastAsia="zh-CN"/>
        </w:rPr>
        <w:t>单位</w:t>
      </w:r>
      <w:r>
        <w:rPr>
          <w:rFonts w:hint="eastAsia" w:ascii="Times New Roman" w:hAnsi="Times New Roman" w:eastAsia="仿宋_GB2312" w:cs="仿宋"/>
          <w:spacing w:val="-17"/>
          <w:w w:val="95"/>
          <w:sz w:val="32"/>
          <w:szCs w:val="32"/>
        </w:rPr>
        <w:t>支出总体情况表</w:t>
      </w:r>
    </w:p>
    <w:p w14:paraId="7EF289C2">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四、财政拨款收支总体情况表</w:t>
      </w:r>
    </w:p>
    <w:p w14:paraId="1CD3EC84">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五、一般公共预算支出情况表</w:t>
      </w:r>
    </w:p>
    <w:p w14:paraId="345CBF71">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六、一般公共预算基本支出情况表</w:t>
      </w:r>
    </w:p>
    <w:p w14:paraId="722E6BEF">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七、一般公共预算“三公”经费支出情况表</w:t>
      </w:r>
    </w:p>
    <w:p w14:paraId="643E053E">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八、政府性基金预算支出情况表</w:t>
      </w:r>
    </w:p>
    <w:p w14:paraId="0180678C">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九、国有资本经营预算支出表</w:t>
      </w:r>
    </w:p>
    <w:p w14:paraId="33E130F2">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十、项目支出表</w:t>
      </w:r>
    </w:p>
    <w:p w14:paraId="0FD1144D">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十一、项目绩效目标表</w:t>
      </w:r>
    </w:p>
    <w:p w14:paraId="2F80D00F">
      <w:pPr>
        <w:widowControl/>
        <w:spacing w:line="360" w:lineRule="auto"/>
        <w:ind w:firstLine="540" w:firstLineChars="200"/>
        <w:jc w:val="left"/>
        <w:rPr>
          <w:rFonts w:ascii="仿宋_GB2312" w:hAnsi="仿宋" w:eastAsia="仿宋_GB2312" w:cs="仿宋"/>
          <w:b/>
          <w:bCs/>
          <w:kern w:val="0"/>
          <w:sz w:val="32"/>
          <w:szCs w:val="32"/>
          <w:lang w:bidi="ar"/>
        </w:rPr>
      </w:pPr>
      <w:r>
        <w:rPr>
          <w:rFonts w:hint="eastAsia" w:ascii="Times New Roman" w:hAnsi="Times New Roman" w:eastAsia="仿宋_GB2312" w:cs="仿宋"/>
          <w:spacing w:val="-17"/>
          <w:w w:val="95"/>
          <w:sz w:val="32"/>
          <w:szCs w:val="32"/>
        </w:rPr>
        <w:t>十二、政府采购预算表</w:t>
      </w:r>
    </w:p>
    <w:p w14:paraId="663EE52D">
      <w:pPr>
        <w:widowControl/>
        <w:spacing w:line="600" w:lineRule="exact"/>
        <w:ind w:firstLine="640" w:firstLineChars="200"/>
        <w:jc w:val="left"/>
        <w:rPr>
          <w:rFonts w:ascii="仿宋_GB2312" w:eastAsia="仿宋_GB2312"/>
          <w:sz w:val="32"/>
          <w:szCs w:val="32"/>
        </w:rPr>
      </w:pPr>
    </w:p>
    <w:sectPr>
      <w:pgSz w:w="11906" w:h="16838"/>
      <w:pgMar w:top="170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89E19F-94AF-49A7-A2AE-682448722FDB}"/>
  </w:font>
  <w:font w:name="Courier New">
    <w:panose1 w:val="02070309020205020404"/>
    <w:charset w:val="01"/>
    <w:family w:val="modern"/>
    <w:pitch w:val="default"/>
    <w:sig w:usb0="E0002EFF" w:usb1="C0007843" w:usb2="00000009" w:usb3="00000000" w:csb0="400001FF" w:csb1="FFFF0000"/>
    <w:embedRegular r:id="rId2" w:fontKey="{1A0FBB27-A27C-4BD4-857E-95CA419313F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760FB5D-7AB5-40C7-B0E7-8A0BD73B60A2}"/>
  </w:font>
  <w:font w:name="楷体">
    <w:panose1 w:val="02010609060101010101"/>
    <w:charset w:val="86"/>
    <w:family w:val="modern"/>
    <w:pitch w:val="default"/>
    <w:sig w:usb0="800002BF" w:usb1="38CF7CFA" w:usb2="00000016" w:usb3="00000000" w:csb0="00040001" w:csb1="00000000"/>
    <w:embedRegular r:id="rId4" w:fontKey="{B447EED0-77F5-4FD4-9DF5-E6C168018CF6}"/>
  </w:font>
  <w:font w:name="仿宋_GB2312">
    <w:panose1 w:val="02010609030101010101"/>
    <w:charset w:val="86"/>
    <w:family w:val="modern"/>
    <w:pitch w:val="default"/>
    <w:sig w:usb0="00000001" w:usb1="080E0000" w:usb2="00000000" w:usb3="00000000" w:csb0="00040000" w:csb1="00000000"/>
    <w:embedRegular r:id="rId5" w:fontKey="{ADA2E045-0D70-4D57-AC25-1019A32307C3}"/>
  </w:font>
  <w:font w:name="仿宋">
    <w:panose1 w:val="02010609060101010101"/>
    <w:charset w:val="86"/>
    <w:family w:val="modern"/>
    <w:pitch w:val="default"/>
    <w:sig w:usb0="800002BF" w:usb1="38CF7CFA" w:usb2="00000016" w:usb3="00000000" w:csb0="00040001" w:csb1="00000000"/>
    <w:embedRegular r:id="rId6" w:fontKey="{F6CCF29D-DCE7-48E2-A124-308A3A739884}"/>
  </w:font>
  <w:font w:name="方正小标宋简体">
    <w:panose1 w:val="03000509000000000000"/>
    <w:charset w:val="86"/>
    <w:family w:val="script"/>
    <w:pitch w:val="default"/>
    <w:sig w:usb0="00000001" w:usb1="080E0000" w:usb2="00000000" w:usb3="00000000" w:csb0="00040000" w:csb1="00000000"/>
    <w:embedRegular r:id="rId7" w:fontKey="{99A8EFFA-62F4-4979-A1E3-522CC34B0262}"/>
  </w:font>
  <w:font w:name="楷体_GB2312">
    <w:panose1 w:val="02010609030101010101"/>
    <w:charset w:val="86"/>
    <w:family w:val="modern"/>
    <w:pitch w:val="default"/>
    <w:sig w:usb0="00000001" w:usb1="080E0000" w:usb2="00000000" w:usb3="00000000" w:csb0="00040000" w:csb1="00000000"/>
    <w:embedRegular r:id="rId8" w:fontKey="{42652417-9D83-4D29-86C3-B141E5EC843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87D63"/>
    <w:multiLevelType w:val="singleLevel"/>
    <w:tmpl w:val="B9F87D6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0467F"/>
    <w:rsid w:val="00007AAA"/>
    <w:rsid w:val="000273CC"/>
    <w:rsid w:val="000A4D97"/>
    <w:rsid w:val="000D13D3"/>
    <w:rsid w:val="0010467F"/>
    <w:rsid w:val="001134E6"/>
    <w:rsid w:val="001502E2"/>
    <w:rsid w:val="00210D97"/>
    <w:rsid w:val="00280E5A"/>
    <w:rsid w:val="002A164D"/>
    <w:rsid w:val="002D4365"/>
    <w:rsid w:val="00404F83"/>
    <w:rsid w:val="004309F5"/>
    <w:rsid w:val="00486F57"/>
    <w:rsid w:val="0050101C"/>
    <w:rsid w:val="00515C5E"/>
    <w:rsid w:val="0057391F"/>
    <w:rsid w:val="005A50DA"/>
    <w:rsid w:val="00634FFB"/>
    <w:rsid w:val="0064264C"/>
    <w:rsid w:val="00686370"/>
    <w:rsid w:val="00834FC5"/>
    <w:rsid w:val="008E1950"/>
    <w:rsid w:val="008F2CF1"/>
    <w:rsid w:val="009B24BC"/>
    <w:rsid w:val="009D75D1"/>
    <w:rsid w:val="00A55A76"/>
    <w:rsid w:val="00AD3B0B"/>
    <w:rsid w:val="00B10352"/>
    <w:rsid w:val="00CA3629"/>
    <w:rsid w:val="00DB0ECF"/>
    <w:rsid w:val="00DB6190"/>
    <w:rsid w:val="00DC21FE"/>
    <w:rsid w:val="00E45543"/>
    <w:rsid w:val="00EC2808"/>
    <w:rsid w:val="00EF2CB7"/>
    <w:rsid w:val="00F13FA0"/>
    <w:rsid w:val="00F26DA1"/>
    <w:rsid w:val="00FC1842"/>
    <w:rsid w:val="01020B8B"/>
    <w:rsid w:val="01816A09"/>
    <w:rsid w:val="02380E83"/>
    <w:rsid w:val="029435B7"/>
    <w:rsid w:val="033124A2"/>
    <w:rsid w:val="03457848"/>
    <w:rsid w:val="038F602A"/>
    <w:rsid w:val="03D177E1"/>
    <w:rsid w:val="0402799B"/>
    <w:rsid w:val="041476CE"/>
    <w:rsid w:val="042E253E"/>
    <w:rsid w:val="0444548E"/>
    <w:rsid w:val="04843131"/>
    <w:rsid w:val="04904FA7"/>
    <w:rsid w:val="04EE6171"/>
    <w:rsid w:val="05453FE3"/>
    <w:rsid w:val="056E7051"/>
    <w:rsid w:val="061D502E"/>
    <w:rsid w:val="06305B70"/>
    <w:rsid w:val="06355981"/>
    <w:rsid w:val="06471FDD"/>
    <w:rsid w:val="06782A33"/>
    <w:rsid w:val="068437E1"/>
    <w:rsid w:val="076D7821"/>
    <w:rsid w:val="07950B26"/>
    <w:rsid w:val="07BB67DE"/>
    <w:rsid w:val="08BA4CE8"/>
    <w:rsid w:val="094E71DE"/>
    <w:rsid w:val="096D58B6"/>
    <w:rsid w:val="099472E7"/>
    <w:rsid w:val="099F5C8C"/>
    <w:rsid w:val="09E649DF"/>
    <w:rsid w:val="0A587D41"/>
    <w:rsid w:val="0B0A5387"/>
    <w:rsid w:val="0B957346"/>
    <w:rsid w:val="0BCB4B16"/>
    <w:rsid w:val="0C25691C"/>
    <w:rsid w:val="0C4F3999"/>
    <w:rsid w:val="0C710BAB"/>
    <w:rsid w:val="0C825B1D"/>
    <w:rsid w:val="0C8F309F"/>
    <w:rsid w:val="0C9674DF"/>
    <w:rsid w:val="0CC7352F"/>
    <w:rsid w:val="0D006A41"/>
    <w:rsid w:val="0D8F47AD"/>
    <w:rsid w:val="0DD41D56"/>
    <w:rsid w:val="0E401CE0"/>
    <w:rsid w:val="0E5232CD"/>
    <w:rsid w:val="0E5928AD"/>
    <w:rsid w:val="0E6D0F0A"/>
    <w:rsid w:val="0E99726D"/>
    <w:rsid w:val="0EB9159E"/>
    <w:rsid w:val="0EBF3EFE"/>
    <w:rsid w:val="0EED1247"/>
    <w:rsid w:val="0F7B2C92"/>
    <w:rsid w:val="101237A4"/>
    <w:rsid w:val="103B32C3"/>
    <w:rsid w:val="10552A54"/>
    <w:rsid w:val="10CD30DE"/>
    <w:rsid w:val="10D36599"/>
    <w:rsid w:val="111E393A"/>
    <w:rsid w:val="11535CDA"/>
    <w:rsid w:val="11771BFF"/>
    <w:rsid w:val="11D706B9"/>
    <w:rsid w:val="11E26F91"/>
    <w:rsid w:val="11EC6B4C"/>
    <w:rsid w:val="12B24A52"/>
    <w:rsid w:val="12BA7692"/>
    <w:rsid w:val="12C80001"/>
    <w:rsid w:val="13194F79"/>
    <w:rsid w:val="133B512C"/>
    <w:rsid w:val="138F28CD"/>
    <w:rsid w:val="13C609E5"/>
    <w:rsid w:val="13D26797"/>
    <w:rsid w:val="13EB622B"/>
    <w:rsid w:val="13F842B1"/>
    <w:rsid w:val="14045829"/>
    <w:rsid w:val="14121C63"/>
    <w:rsid w:val="141A23D2"/>
    <w:rsid w:val="145A112D"/>
    <w:rsid w:val="14610484"/>
    <w:rsid w:val="151934FB"/>
    <w:rsid w:val="152105B4"/>
    <w:rsid w:val="154303FD"/>
    <w:rsid w:val="156D4E90"/>
    <w:rsid w:val="156F12B5"/>
    <w:rsid w:val="1574621E"/>
    <w:rsid w:val="15835F82"/>
    <w:rsid w:val="15AF1FBC"/>
    <w:rsid w:val="15B531C4"/>
    <w:rsid w:val="15BD6FF9"/>
    <w:rsid w:val="15F07F9B"/>
    <w:rsid w:val="15FA0F22"/>
    <w:rsid w:val="16535259"/>
    <w:rsid w:val="16AD03A2"/>
    <w:rsid w:val="16D228C8"/>
    <w:rsid w:val="16EE59E5"/>
    <w:rsid w:val="16F61C6B"/>
    <w:rsid w:val="172123D6"/>
    <w:rsid w:val="172D2B29"/>
    <w:rsid w:val="173F1101"/>
    <w:rsid w:val="17E82470"/>
    <w:rsid w:val="180B566D"/>
    <w:rsid w:val="188C387F"/>
    <w:rsid w:val="190E24E6"/>
    <w:rsid w:val="19743C5D"/>
    <w:rsid w:val="19880505"/>
    <w:rsid w:val="19A8287F"/>
    <w:rsid w:val="19B465B5"/>
    <w:rsid w:val="19B66244"/>
    <w:rsid w:val="1A3366A8"/>
    <w:rsid w:val="1A4A5B9B"/>
    <w:rsid w:val="1A7A7E33"/>
    <w:rsid w:val="1AA01F0E"/>
    <w:rsid w:val="1AD7327E"/>
    <w:rsid w:val="1AF5395E"/>
    <w:rsid w:val="1BA21253"/>
    <w:rsid w:val="1C6012AB"/>
    <w:rsid w:val="1C79398B"/>
    <w:rsid w:val="1CBA6107"/>
    <w:rsid w:val="1CD30200"/>
    <w:rsid w:val="1D1C3424"/>
    <w:rsid w:val="1D69418F"/>
    <w:rsid w:val="1DFE0D7B"/>
    <w:rsid w:val="1E355D0B"/>
    <w:rsid w:val="1E5C5F4C"/>
    <w:rsid w:val="1E8C282B"/>
    <w:rsid w:val="1EAE454F"/>
    <w:rsid w:val="1ED225EB"/>
    <w:rsid w:val="1F08025D"/>
    <w:rsid w:val="1F4C5B16"/>
    <w:rsid w:val="1F694B18"/>
    <w:rsid w:val="1F714618"/>
    <w:rsid w:val="1FDA4D78"/>
    <w:rsid w:val="20316D99"/>
    <w:rsid w:val="207D067D"/>
    <w:rsid w:val="208562DE"/>
    <w:rsid w:val="20D61B3B"/>
    <w:rsid w:val="20F16975"/>
    <w:rsid w:val="213139E5"/>
    <w:rsid w:val="218C10A4"/>
    <w:rsid w:val="225B49EE"/>
    <w:rsid w:val="22FD7853"/>
    <w:rsid w:val="23095765"/>
    <w:rsid w:val="232E3EB1"/>
    <w:rsid w:val="23D5513C"/>
    <w:rsid w:val="24064954"/>
    <w:rsid w:val="24080638"/>
    <w:rsid w:val="24704055"/>
    <w:rsid w:val="25021151"/>
    <w:rsid w:val="25921DA6"/>
    <w:rsid w:val="263B7010"/>
    <w:rsid w:val="26A526DC"/>
    <w:rsid w:val="26B50445"/>
    <w:rsid w:val="279802A7"/>
    <w:rsid w:val="283A50A6"/>
    <w:rsid w:val="28590024"/>
    <w:rsid w:val="285D3A69"/>
    <w:rsid w:val="28862099"/>
    <w:rsid w:val="28DF17A9"/>
    <w:rsid w:val="29065364"/>
    <w:rsid w:val="29363ABF"/>
    <w:rsid w:val="2996455E"/>
    <w:rsid w:val="2A7F1496"/>
    <w:rsid w:val="2AB63109"/>
    <w:rsid w:val="2AC60E73"/>
    <w:rsid w:val="2B6547AD"/>
    <w:rsid w:val="2BC1063F"/>
    <w:rsid w:val="2BD93F8A"/>
    <w:rsid w:val="2BFA0DD4"/>
    <w:rsid w:val="2C043A01"/>
    <w:rsid w:val="2C947DA9"/>
    <w:rsid w:val="2C960AEF"/>
    <w:rsid w:val="2D485B6F"/>
    <w:rsid w:val="2E9D638E"/>
    <w:rsid w:val="2F1321AD"/>
    <w:rsid w:val="2F3F6AD2"/>
    <w:rsid w:val="2F566C69"/>
    <w:rsid w:val="2F6A001E"/>
    <w:rsid w:val="2F994DA8"/>
    <w:rsid w:val="30197C97"/>
    <w:rsid w:val="30C84050"/>
    <w:rsid w:val="30E402A4"/>
    <w:rsid w:val="31796C3F"/>
    <w:rsid w:val="31B201DD"/>
    <w:rsid w:val="31BD5C59"/>
    <w:rsid w:val="32110115"/>
    <w:rsid w:val="321E5971"/>
    <w:rsid w:val="32543208"/>
    <w:rsid w:val="32995B42"/>
    <w:rsid w:val="32DA54BB"/>
    <w:rsid w:val="32FF4F22"/>
    <w:rsid w:val="339567A0"/>
    <w:rsid w:val="3436578D"/>
    <w:rsid w:val="34D261C1"/>
    <w:rsid w:val="35254F8D"/>
    <w:rsid w:val="3529097C"/>
    <w:rsid w:val="36721EAF"/>
    <w:rsid w:val="36AD2AFB"/>
    <w:rsid w:val="36C6306C"/>
    <w:rsid w:val="37270EEB"/>
    <w:rsid w:val="372901FD"/>
    <w:rsid w:val="376E2CDC"/>
    <w:rsid w:val="37D625D7"/>
    <w:rsid w:val="38340B9F"/>
    <w:rsid w:val="385E26EA"/>
    <w:rsid w:val="391D7DB8"/>
    <w:rsid w:val="391E1E7A"/>
    <w:rsid w:val="395C33B6"/>
    <w:rsid w:val="396922DF"/>
    <w:rsid w:val="397845BB"/>
    <w:rsid w:val="39AB7BB1"/>
    <w:rsid w:val="39D8535B"/>
    <w:rsid w:val="3A500759"/>
    <w:rsid w:val="3A5447D8"/>
    <w:rsid w:val="3AB35415"/>
    <w:rsid w:val="3AC23405"/>
    <w:rsid w:val="3ADE3FB6"/>
    <w:rsid w:val="3B514118"/>
    <w:rsid w:val="3BF55114"/>
    <w:rsid w:val="3C7C511A"/>
    <w:rsid w:val="3C8623E4"/>
    <w:rsid w:val="3CC66AB0"/>
    <w:rsid w:val="3CE711C9"/>
    <w:rsid w:val="3DBB413B"/>
    <w:rsid w:val="3E404780"/>
    <w:rsid w:val="3E7A5DA4"/>
    <w:rsid w:val="3E974BA8"/>
    <w:rsid w:val="3E9E7CE5"/>
    <w:rsid w:val="3EA572C5"/>
    <w:rsid w:val="3EC216F3"/>
    <w:rsid w:val="3EF75647"/>
    <w:rsid w:val="3F6C13CF"/>
    <w:rsid w:val="40291362"/>
    <w:rsid w:val="40610792"/>
    <w:rsid w:val="409749EB"/>
    <w:rsid w:val="40980764"/>
    <w:rsid w:val="40A95AE8"/>
    <w:rsid w:val="40AB493B"/>
    <w:rsid w:val="40E03BB7"/>
    <w:rsid w:val="41066339"/>
    <w:rsid w:val="4121045B"/>
    <w:rsid w:val="4121568C"/>
    <w:rsid w:val="416E7E42"/>
    <w:rsid w:val="41C44FD7"/>
    <w:rsid w:val="41D1217F"/>
    <w:rsid w:val="41F06AA9"/>
    <w:rsid w:val="41F67E38"/>
    <w:rsid w:val="422B5D33"/>
    <w:rsid w:val="423448B7"/>
    <w:rsid w:val="424503FA"/>
    <w:rsid w:val="426054F5"/>
    <w:rsid w:val="42B86E9B"/>
    <w:rsid w:val="432B1D63"/>
    <w:rsid w:val="43AD4526"/>
    <w:rsid w:val="43D85A47"/>
    <w:rsid w:val="43EC14F2"/>
    <w:rsid w:val="442D374E"/>
    <w:rsid w:val="448259B3"/>
    <w:rsid w:val="44AE67A8"/>
    <w:rsid w:val="452627E2"/>
    <w:rsid w:val="45877724"/>
    <w:rsid w:val="45B47DEE"/>
    <w:rsid w:val="45CC4523"/>
    <w:rsid w:val="46163B90"/>
    <w:rsid w:val="4678706D"/>
    <w:rsid w:val="467C4DAF"/>
    <w:rsid w:val="46A241A8"/>
    <w:rsid w:val="46C027C2"/>
    <w:rsid w:val="46F56910"/>
    <w:rsid w:val="4780267D"/>
    <w:rsid w:val="47B75973"/>
    <w:rsid w:val="47FE7A46"/>
    <w:rsid w:val="488D2E3D"/>
    <w:rsid w:val="48B23A9D"/>
    <w:rsid w:val="49616D88"/>
    <w:rsid w:val="4A431740"/>
    <w:rsid w:val="4AA002CD"/>
    <w:rsid w:val="4AC2284F"/>
    <w:rsid w:val="4B117A90"/>
    <w:rsid w:val="4B2772B4"/>
    <w:rsid w:val="4B6422B6"/>
    <w:rsid w:val="4BA206E8"/>
    <w:rsid w:val="4CB61325"/>
    <w:rsid w:val="4D096C71"/>
    <w:rsid w:val="4D176431"/>
    <w:rsid w:val="4DE11856"/>
    <w:rsid w:val="4DEC71DA"/>
    <w:rsid w:val="4DF427F7"/>
    <w:rsid w:val="4E192EE4"/>
    <w:rsid w:val="4E4A3AEA"/>
    <w:rsid w:val="4E58553D"/>
    <w:rsid w:val="4E5E3B4D"/>
    <w:rsid w:val="4F6603AB"/>
    <w:rsid w:val="500A556F"/>
    <w:rsid w:val="50F33EC0"/>
    <w:rsid w:val="50F4335A"/>
    <w:rsid w:val="51267992"/>
    <w:rsid w:val="51340035"/>
    <w:rsid w:val="5149784B"/>
    <w:rsid w:val="51534A93"/>
    <w:rsid w:val="516C3C72"/>
    <w:rsid w:val="519913D9"/>
    <w:rsid w:val="51D44CC8"/>
    <w:rsid w:val="525939FB"/>
    <w:rsid w:val="528D5C4E"/>
    <w:rsid w:val="529E7E5B"/>
    <w:rsid w:val="52A66D10"/>
    <w:rsid w:val="532103EE"/>
    <w:rsid w:val="532C36B9"/>
    <w:rsid w:val="536E5A80"/>
    <w:rsid w:val="537B63EF"/>
    <w:rsid w:val="5391176E"/>
    <w:rsid w:val="53CE29C2"/>
    <w:rsid w:val="540B7773"/>
    <w:rsid w:val="54AD6B1C"/>
    <w:rsid w:val="54BB6C00"/>
    <w:rsid w:val="54BE5581"/>
    <w:rsid w:val="54FE4BE1"/>
    <w:rsid w:val="55592760"/>
    <w:rsid w:val="55F54236"/>
    <w:rsid w:val="56010E2D"/>
    <w:rsid w:val="561F3061"/>
    <w:rsid w:val="561F6358"/>
    <w:rsid w:val="5621278F"/>
    <w:rsid w:val="56245FEB"/>
    <w:rsid w:val="564058B3"/>
    <w:rsid w:val="56473AAF"/>
    <w:rsid w:val="568B60BC"/>
    <w:rsid w:val="56927CD7"/>
    <w:rsid w:val="569A4794"/>
    <w:rsid w:val="573A572B"/>
    <w:rsid w:val="57EA3B43"/>
    <w:rsid w:val="585B059D"/>
    <w:rsid w:val="58DD6A1A"/>
    <w:rsid w:val="590D7691"/>
    <w:rsid w:val="59804C5F"/>
    <w:rsid w:val="59A7691F"/>
    <w:rsid w:val="59D56BA9"/>
    <w:rsid w:val="59D86349"/>
    <w:rsid w:val="5A5F25C6"/>
    <w:rsid w:val="5AD05272"/>
    <w:rsid w:val="5B175BE2"/>
    <w:rsid w:val="5B562F03"/>
    <w:rsid w:val="5B7025B1"/>
    <w:rsid w:val="5C1D5955"/>
    <w:rsid w:val="5C475B3F"/>
    <w:rsid w:val="5C525469"/>
    <w:rsid w:val="5CBD1826"/>
    <w:rsid w:val="5D2570A5"/>
    <w:rsid w:val="5D2E44D2"/>
    <w:rsid w:val="5D5D0C48"/>
    <w:rsid w:val="5D9B143D"/>
    <w:rsid w:val="5DED1DA0"/>
    <w:rsid w:val="5DF70D68"/>
    <w:rsid w:val="5E50589D"/>
    <w:rsid w:val="5F920624"/>
    <w:rsid w:val="5F950838"/>
    <w:rsid w:val="5FCA04E2"/>
    <w:rsid w:val="5FCE4F4E"/>
    <w:rsid w:val="60934D78"/>
    <w:rsid w:val="611539DF"/>
    <w:rsid w:val="614B7400"/>
    <w:rsid w:val="615F10FE"/>
    <w:rsid w:val="61B770EF"/>
    <w:rsid w:val="61C3168D"/>
    <w:rsid w:val="61E17D65"/>
    <w:rsid w:val="62001654"/>
    <w:rsid w:val="62483394"/>
    <w:rsid w:val="6287471B"/>
    <w:rsid w:val="630C0E11"/>
    <w:rsid w:val="632D4A46"/>
    <w:rsid w:val="63340F61"/>
    <w:rsid w:val="63647A76"/>
    <w:rsid w:val="637214ED"/>
    <w:rsid w:val="63C65464"/>
    <w:rsid w:val="656D646C"/>
    <w:rsid w:val="65DF280D"/>
    <w:rsid w:val="65E53207"/>
    <w:rsid w:val="663D12E2"/>
    <w:rsid w:val="66552ACF"/>
    <w:rsid w:val="668A4653"/>
    <w:rsid w:val="66F81DD8"/>
    <w:rsid w:val="672D1356"/>
    <w:rsid w:val="676254A4"/>
    <w:rsid w:val="67C577E1"/>
    <w:rsid w:val="67F500C6"/>
    <w:rsid w:val="68872304"/>
    <w:rsid w:val="689C49E5"/>
    <w:rsid w:val="69210FE6"/>
    <w:rsid w:val="69232A11"/>
    <w:rsid w:val="692A0243"/>
    <w:rsid w:val="6980444F"/>
    <w:rsid w:val="69AE05F6"/>
    <w:rsid w:val="69C42668"/>
    <w:rsid w:val="69E14E70"/>
    <w:rsid w:val="69F450A7"/>
    <w:rsid w:val="69FF522C"/>
    <w:rsid w:val="6A0A3B59"/>
    <w:rsid w:val="6A0F7115"/>
    <w:rsid w:val="6AF705F9"/>
    <w:rsid w:val="6B0F5A36"/>
    <w:rsid w:val="6BE24E05"/>
    <w:rsid w:val="6BFD3747"/>
    <w:rsid w:val="6C3F1FCF"/>
    <w:rsid w:val="6C4B3FAF"/>
    <w:rsid w:val="6C5D623A"/>
    <w:rsid w:val="6D0843F7"/>
    <w:rsid w:val="6D192AA9"/>
    <w:rsid w:val="6D655CEE"/>
    <w:rsid w:val="6D7F2338"/>
    <w:rsid w:val="6D877A12"/>
    <w:rsid w:val="6DF826BE"/>
    <w:rsid w:val="6E25722B"/>
    <w:rsid w:val="6E727F2E"/>
    <w:rsid w:val="6E8C1AD3"/>
    <w:rsid w:val="6F2B0871"/>
    <w:rsid w:val="6F366DF0"/>
    <w:rsid w:val="6F3B4F17"/>
    <w:rsid w:val="6F4162E7"/>
    <w:rsid w:val="6FD1766A"/>
    <w:rsid w:val="6FE07045"/>
    <w:rsid w:val="7090341F"/>
    <w:rsid w:val="70ED2C38"/>
    <w:rsid w:val="715220E5"/>
    <w:rsid w:val="71771B4C"/>
    <w:rsid w:val="71A812B9"/>
    <w:rsid w:val="71DC056D"/>
    <w:rsid w:val="720954B6"/>
    <w:rsid w:val="72426F0E"/>
    <w:rsid w:val="72600832"/>
    <w:rsid w:val="729329B5"/>
    <w:rsid w:val="72AD31A0"/>
    <w:rsid w:val="72BC6586"/>
    <w:rsid w:val="72FC49FE"/>
    <w:rsid w:val="73125FD0"/>
    <w:rsid w:val="733B199F"/>
    <w:rsid w:val="73583D9B"/>
    <w:rsid w:val="73933020"/>
    <w:rsid w:val="73BB6668"/>
    <w:rsid w:val="73C05A2C"/>
    <w:rsid w:val="749F7495"/>
    <w:rsid w:val="74E53270"/>
    <w:rsid w:val="752D5343"/>
    <w:rsid w:val="75DF5F11"/>
    <w:rsid w:val="75EF084A"/>
    <w:rsid w:val="76566E88"/>
    <w:rsid w:val="766823AB"/>
    <w:rsid w:val="776B5CAF"/>
    <w:rsid w:val="779571D0"/>
    <w:rsid w:val="779C4BA0"/>
    <w:rsid w:val="77B86A77"/>
    <w:rsid w:val="77C57139"/>
    <w:rsid w:val="77C701C7"/>
    <w:rsid w:val="781F06D2"/>
    <w:rsid w:val="78520C1D"/>
    <w:rsid w:val="788259A6"/>
    <w:rsid w:val="790B47EF"/>
    <w:rsid w:val="795310F0"/>
    <w:rsid w:val="797177C8"/>
    <w:rsid w:val="79876FEC"/>
    <w:rsid w:val="7A0D74F1"/>
    <w:rsid w:val="7A1A1600"/>
    <w:rsid w:val="7A543372"/>
    <w:rsid w:val="7A6A4943"/>
    <w:rsid w:val="7A8157E9"/>
    <w:rsid w:val="7AD77586"/>
    <w:rsid w:val="7AD85D51"/>
    <w:rsid w:val="7AFD4C76"/>
    <w:rsid w:val="7B2168A6"/>
    <w:rsid w:val="7B9D2AF7"/>
    <w:rsid w:val="7B9D48A5"/>
    <w:rsid w:val="7BDA6836"/>
    <w:rsid w:val="7C3A0345"/>
    <w:rsid w:val="7C541407"/>
    <w:rsid w:val="7C6929D9"/>
    <w:rsid w:val="7C991510"/>
    <w:rsid w:val="7CF14EA8"/>
    <w:rsid w:val="7D4059B8"/>
    <w:rsid w:val="7DE1061C"/>
    <w:rsid w:val="7E394D59"/>
    <w:rsid w:val="7E7F735C"/>
    <w:rsid w:val="7EAA0717"/>
    <w:rsid w:val="7F007624"/>
    <w:rsid w:val="7F437511"/>
    <w:rsid w:val="7F4C44C4"/>
    <w:rsid w:val="7F5A2649"/>
    <w:rsid w:val="7F5B485B"/>
    <w:rsid w:val="7F69797B"/>
    <w:rsid w:val="7F6C2F0C"/>
    <w:rsid w:val="7F774E36"/>
    <w:rsid w:val="7FCB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4"/>
    <w:autoRedefine/>
    <w:unhideWhenUsed/>
    <w:qFormat/>
    <w:uiPriority w:val="0"/>
    <w:pPr>
      <w:widowControl/>
      <w:spacing w:before="154" w:after="240"/>
      <w:ind w:left="211"/>
      <w:outlineLvl w:val="1"/>
    </w:pPr>
    <w:rPr>
      <w:rFonts w:ascii="楷体" w:hAnsi="楷体" w:eastAsia="楷体" w:cs="楷体"/>
      <w:b/>
      <w:bCs/>
      <w:kern w:val="0"/>
      <w:sz w:val="32"/>
      <w:szCs w:val="32"/>
      <w:lang w:val="zh-CN" w:bidi="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unhideWhenUsed/>
    <w:qFormat/>
    <w:uiPriority w:val="1"/>
    <w:pPr>
      <w:spacing w:after="120"/>
    </w:pPr>
  </w:style>
  <w:style w:type="paragraph" w:styleId="4">
    <w:name w:val="Body Text Indent"/>
    <w:basedOn w:val="1"/>
    <w:next w:val="5"/>
    <w:autoRedefine/>
    <w:qFormat/>
    <w:uiPriority w:val="0"/>
    <w:pPr>
      <w:spacing w:after="120"/>
      <w:ind w:left="420" w:leftChars="200"/>
      <w:jc w:val="left"/>
    </w:pPr>
    <w:rPr>
      <w:rFonts w:hint="eastAsia" w:ascii="宋体" w:hAnsi="宋体"/>
      <w:kern w:val="0"/>
      <w:sz w:val="24"/>
    </w:rPr>
  </w:style>
  <w:style w:type="paragraph" w:styleId="5">
    <w:name w:val="toc 2"/>
    <w:basedOn w:val="1"/>
    <w:next w:val="1"/>
    <w:qFormat/>
    <w:uiPriority w:val="0"/>
    <w:pPr>
      <w:ind w:left="420"/>
      <w:jc w:val="center"/>
    </w:pPr>
    <w:rPr>
      <w:rFonts w:ascii="黑体" w:eastAsia="黑体"/>
      <w:sz w:val="32"/>
      <w:szCs w:val="32"/>
    </w:rPr>
  </w:style>
  <w:style w:type="paragraph" w:styleId="6">
    <w:name w:val="footer"/>
    <w:basedOn w:val="1"/>
    <w:link w:val="16"/>
    <w:autoRedefine/>
    <w:qFormat/>
    <w:uiPriority w:val="0"/>
    <w:pPr>
      <w:tabs>
        <w:tab w:val="center" w:pos="4153"/>
        <w:tab w:val="right" w:pos="8306"/>
      </w:tabs>
      <w:snapToGrid w:val="0"/>
      <w:jc w:val="left"/>
    </w:pPr>
    <w:rPr>
      <w:sz w:val="18"/>
      <w:szCs w:val="18"/>
    </w:rPr>
  </w:style>
  <w:style w:type="paragraph" w:styleId="7">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paragraph" w:styleId="9">
    <w:name w:val="Title"/>
    <w:basedOn w:val="1"/>
    <w:next w:val="4"/>
    <w:qFormat/>
    <w:uiPriority w:val="0"/>
    <w:pPr>
      <w:widowControl/>
      <w:ind w:left="30"/>
      <w:outlineLvl w:val="0"/>
    </w:pPr>
    <w:rPr>
      <w:rFonts w:ascii="Arial" w:hAnsi="Arial" w:eastAsia="仿宋_GB2312" w:cs="Times New Roman"/>
      <w:b/>
      <w:sz w:val="32"/>
      <w:szCs w:val="32"/>
      <w:lang w:val="en-US" w:bidi="ar-SA"/>
    </w:rPr>
  </w:style>
  <w:style w:type="paragraph" w:styleId="10">
    <w:name w:val="Body Text First Indent 2"/>
    <w:basedOn w:val="4"/>
    <w:qFormat/>
    <w:uiPriority w:val="0"/>
    <w:pPr>
      <w:ind w:firstLine="420"/>
    </w:pPr>
  </w:style>
  <w:style w:type="table" w:styleId="12">
    <w:name w:val="Table Grid"/>
    <w:basedOn w:val="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2 字符"/>
    <w:basedOn w:val="13"/>
    <w:link w:val="2"/>
    <w:autoRedefine/>
    <w:qFormat/>
    <w:uiPriority w:val="0"/>
    <w:rPr>
      <w:rFonts w:ascii="楷体" w:hAnsi="楷体" w:eastAsia="楷体" w:cs="楷体"/>
      <w:b/>
      <w:bCs/>
      <w:sz w:val="32"/>
      <w:szCs w:val="32"/>
      <w:lang w:val="zh-CN" w:bidi="zh-CN"/>
    </w:rPr>
  </w:style>
  <w:style w:type="character" w:customStyle="1" w:styleId="15">
    <w:name w:val="正文文本 字符"/>
    <w:basedOn w:val="13"/>
    <w:link w:val="3"/>
    <w:qFormat/>
    <w:uiPriority w:val="0"/>
    <w:rPr>
      <w:rFonts w:hint="eastAsia" w:ascii="仿宋" w:hAnsi="仿宋" w:eastAsia="仿宋" w:cs="仿宋"/>
      <w:sz w:val="32"/>
      <w:szCs w:val="32"/>
      <w:lang w:val="zh-CN" w:bidi="zh-CN"/>
    </w:rPr>
  </w:style>
  <w:style w:type="character" w:customStyle="1" w:styleId="16">
    <w:name w:val="页脚 字符"/>
    <w:basedOn w:val="13"/>
    <w:link w:val="6"/>
    <w:autoRedefine/>
    <w:qFormat/>
    <w:uiPriority w:val="0"/>
    <w:rPr>
      <w:rFonts w:ascii="Calibri" w:hAnsi="Calibri"/>
      <w:kern w:val="2"/>
      <w:sz w:val="18"/>
      <w:szCs w:val="18"/>
    </w:rPr>
  </w:style>
  <w:style w:type="character" w:customStyle="1" w:styleId="17">
    <w:name w:val="页眉 字符"/>
    <w:basedOn w:val="13"/>
    <w:link w:val="7"/>
    <w:qFormat/>
    <w:uiPriority w:val="0"/>
    <w:rPr>
      <w:rFonts w:ascii="Calibri" w:hAnsi="Calibri"/>
      <w:kern w:val="2"/>
      <w:sz w:val="18"/>
      <w:szCs w:val="18"/>
    </w:rPr>
  </w:style>
  <w:style w:type="paragraph" w:customStyle="1" w:styleId="18">
    <w:name w:val="msolistparagraph"/>
    <w:basedOn w:val="1"/>
    <w:autoRedefine/>
    <w:qFormat/>
    <w:uiPriority w:val="0"/>
    <w:pPr>
      <w:widowControl/>
      <w:spacing w:before="120" w:after="240"/>
      <w:ind w:left="211" w:firstLine="640"/>
    </w:pPr>
    <w:rPr>
      <w:rFonts w:hint="eastAsia" w:ascii="仿宋" w:hAnsi="仿宋" w:eastAsia="仿宋"/>
      <w:kern w:val="0"/>
      <w:sz w:val="22"/>
      <w:szCs w:val="22"/>
    </w:rPr>
  </w:style>
  <w:style w:type="paragraph" w:customStyle="1" w:styleId="19">
    <w:name w:val="Table Paragraph"/>
    <w:basedOn w:val="1"/>
    <w:autoRedefine/>
    <w:qFormat/>
    <w:uiPriority w:val="1"/>
    <w:pPr>
      <w:widowControl/>
      <w:spacing w:before="120" w:after="240"/>
    </w:pPr>
    <w:rPr>
      <w:rFonts w:ascii="仿宋" w:hAnsi="仿宋" w:eastAsia="仿宋" w:cs="仿宋"/>
      <w:kern w:val="0"/>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543</Words>
  <Characters>562</Characters>
  <Lines>60</Lines>
  <Paragraphs>17</Paragraphs>
  <TotalTime>2</TotalTime>
  <ScaleCrop>false</ScaleCrop>
  <LinksUpToDate>false</LinksUpToDate>
  <CharactersWithSpaces>569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2025-04-07T05:34:00Z</dcterms:created>
  <dc:creator>606N</dc:creator>
  <cp:lastModifiedBy>刘超</cp:lastModifiedBy>
  <dcterms:modified xsi:type="dcterms:W3CDTF">2025-02-11T08:56:45Z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CBCF0C1B0C534EDCB9130BA3DD763F64_13</vt:lpwstr>
  </property>
  <property fmtid="{D5CDD505-2E9C-101B-9397-08002B2CF9AE}" pid="4" name="KSOTemplateDocerSaveRecord">
    <vt:lpwstr>eyJoZGlkIjoiZmJiNThkNDQ2MjYyODlmMjJkZDBhOGJiZmNiMDM0MTAiLCJ1c2VySWQiOiIyNjUzMjg4MTcifQ==</vt:lpwstr>
  </property>
</Properties>
</file>